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Structural Determinants Without Short-Term Predictability: A Leakage-Controlled Benchmark of State-Level Dengue Burden in India, 2015–2024</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ins w:id="1001" w:author="Siddalingaiah H S" w:date="2026-08-29T00:00:00Z">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ins>
    </w:p>
    <w:p>
      <w:ins w:id="1002" w:author="Siddalingaiah H S" w:date="2026-08-29T00:00:00Z">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ins>
    </w:p>
    <w:p>
      <w:ins w:id="1003" w:author="Siddalingaiah H S" w:date="2026-08-29T00:00:00Z">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ins>
    </w:p>
    <w:p>
      <w:ins w:id="1004" w:author="Siddalingaiah H S" w:date="2026-08-29T00:00:00Z">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ins>
    </w:p>
    <w:p>
      <w:ins w:id="1005" w:author="Siddalingaiah H S" w:date="2026-08-29T00:00:00Z">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ins>
    </w:p>
    <w:p>
      <w:r>
        <w:t xml:space="preserve">Keywords: Dengue; </w:t>
      </w:r>
      <w:del w:id="1006" w:author="Siddalingaiah H S" w:date="2026-08-29T00:00:00Z">
        <w:r>
          <w:delText xml:space="preserve">Machine Learning; Gradient Boosting; Time-series cross-validation; </w:delText>
        </w:r>
      </w:del>
      <w:r>
        <w:t xml:space="preserve">India; </w:t>
      </w:r>
      <w:del w:id="1007" w:author="Siddalingaiah H S" w:date="2026-08-29T00:00:00Z">
        <w:r>
          <w:delText xml:space="preserve">NVBDCP; Outbreak prediction; </w:delText>
        </w:r>
      </w:del>
      <w:ins w:id="1008" w:author="Siddalingaiah H S" w:date="2026-08-29T00:00:00Z">
        <w:r>
          <w:t xml:space="preserve">Data leakage; Forecast evaluation; Benchmarking; Negative results; Surveillance data provenance; </w:t>
        </w:r>
      </w:ins>
      <w:r>
        <w:t xml:space="preserve">Public-health informatics </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Flaviviridae virus (DENV 1–4), is the most rapidly spreading mosquito-borne viral disease globally; the World Health Organization estimates a 30-fold rise in incidence over the past five decades, placing nearly half the </w:t>
      </w:r>
      <w:del w:id="1009" w:author="Siddalingaiah H S" w:date="2026-08-29T00:00:00Z">
        <w:r>
          <w:delText xml:space="preserve">world’s </w:delText>
        </w:r>
      </w:del>
      <w:ins w:id="1010" w:author="Siddalingaiah H S" w:date="2026-08-29T00:00:00Z">
        <w:r>
          <w:t xml:space="preserve">world's </w:t>
        </w:r>
      </w:ins>
      <w:r>
        <w:t xml:space="preserve">population at risk 1. India, with its tropical </w:t>
      </w:r>
      <w:del w:id="1011" w:author="Siddalingaiah H S" w:date="2026-08-29T00:00:00Z">
        <w:r>
          <w:delText xml:space="preserve">climate, dense </w:delText>
        </w:r>
      </w:del>
      <w:ins w:id="1012" w:author="Siddalingaiah H S" w:date="2026-08-29T00:00:00Z">
        <w:r>
          <w:t xml:space="preserve">climate </w:t>
        </w:r>
      </w:ins>
      <w:r>
        <w:t xml:space="preserve">and </w:t>
      </w:r>
      <w:ins w:id="1013" w:author="Siddalingaiah H S" w:date="2026-08-29T00:00:00Z">
        <w:r>
          <w:t xml:space="preserve">dense, </w:t>
        </w:r>
      </w:ins>
      <w:r>
        <w:t xml:space="preserve">rapidly urbanising population, bears a disproportionate </w:t>
      </w:r>
      <w:del w:id="1014" w:author="Siddalingaiah H S" w:date="2026-08-29T00:00:00Z">
        <w:r>
          <w:delText xml:space="preserve">share—an </w:delText>
        </w:r>
      </w:del>
      <w:ins w:id="1015" w:author="Siddalingaiah H S" w:date="2026-08-29T00:00:00Z">
        <w:r>
          <w:t xml:space="preserve">share — an </w:t>
        </w:r>
      </w:ins>
      <w:r>
        <w:t xml:space="preserve">estimated one-third of the global burden, likely underestimated by passive surveillance 2. Inter-epidemic intervals have narrowed in recent years, </w:t>
      </w:r>
      <w:del w:id="1016" w:author="Siddalingaiah H S" w:date="2026-08-29T00:00:00Z">
        <w:r>
          <w:delText xml:space="preserve">signalling a transition toward hyper-endemicity, </w:delText>
        </w:r>
      </w:del>
      <w:r>
        <w:t xml:space="preserve">while the economic cost runs into billions of dollars annually 3. </w:t>
      </w:r>
    </w:p>
    <w:p>
      <w:pPr>
        <w:pStyle w:val="Heading3"/>
      </w:pPr>
      <w:r>
        <w:t>1.2 Prediction Claims and Their Dependence on Design</w:t>
      </w:r>
    </w:p>
    <w:p>
      <w:ins w:id="1017" w:author="Siddalingaiah H S" w:date="2026-08-29T00:00:00Z">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ins>
    </w:p>
    <w:p>
      <w:ins w:id="1018" w:author="Siddalingaiah H S" w:date="2026-08-29T00:00:00Z">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ins>
    </w:p>
    <w:p>
      <w:ins w:id="1019" w:author="Siddalingaiah H S" w:date="2026-08-29T00:00:00Z">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ins>
    </w:p>
    <w:p>
      <w:pPr>
        <w:pStyle w:val="Heading3"/>
      </w:pPr>
      <w:r>
        <w:t>1.3 The Structural Vulnerability Hypothesis</w:t>
      </w:r>
    </w:p>
    <w:p>
      <w:ins w:id="1020" w:author="Siddalingaiah H S" w:date="2026-08-29T00:00:00Z">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ins>
    </w:p>
    <w:p>
      <w:pPr>
        <w:pStyle w:val="Heading3"/>
      </w:pPr>
      <w:r>
        <w:t>1.4 Objectives</w:t>
      </w:r>
    </w:p>
    <w:p>
      <w:ins w:id="1021" w:author="Siddalingaiah H S" w:date="2026-08-29T00:00:00Z">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ins>
    </w:p>
    <w:p>
      <w:pPr>
        <w:pStyle w:val="Heading1"/>
      </w:pPr>
      <w:r>
        <w:t>2. Methods</w:t>
      </w:r>
    </w:p>
    <w:p>
      <w:pPr>
        <w:pStyle w:val="Heading3"/>
      </w:pPr>
      <w:r>
        <w:t>2.1 Study Design and Reporting</w:t>
      </w:r>
    </w:p>
    <w:p>
      <w:ins w:id="1022" w:author="Siddalingaiah H S" w:date="2026-08-29T00:00:00Z">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ins>
    </w:p>
    <w:p>
      <w:pPr>
        <w:pStyle w:val="Heading3"/>
      </w:pPr>
      <w:r>
        <w:t>2.2 Data Provenance</w:t>
      </w:r>
    </w:p>
    <w:p>
      <w:ins w:id="1023" w:author="Siddalingaiah H S" w:date="2026-08-29T00:00:00Z">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ins>
    </w:p>
    <w:p>
      <w:ins w:id="1024" w:author="Siddalingaiah H S" w:date="2026-08-29T00:00:00Z">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ins>
    </w:p>
    <w:p>
      <w:pPr>
        <w:pStyle w:val="Heading3"/>
      </w:pPr>
      <w:r>
        <w:t>2.3 Eligibility and Exclusions</w:t>
      </w:r>
    </w:p>
    <w:p>
      <w:ins w:id="1025" w:author="Siddalingaiah H S" w:date="2026-08-29T00:00:00Z">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ins>
    </w:p>
    <w:p>
      <w:pPr>
        <w:pStyle w:val="Heading3"/>
      </w:pPr>
      <w:r>
        <w:t>2.4 Independent Reconciliation</w:t>
      </w:r>
    </w:p>
    <w:p>
      <w:ins w:id="1026" w:author="Siddalingaiah H S" w:date="2026-08-29T00:00:00Z">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ins>
    </w:p>
    <w:p>
      <w:pPr>
        <w:pStyle w:val="Heading3"/>
      </w:pPr>
      <w:r>
        <w:t>2.5 Structural Covariates</w:t>
      </w:r>
    </w:p>
    <w:p>
      <w:ins w:id="1027" w:author="Siddalingaiah H S" w:date="2026-08-29T00:00:00Z">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ins>
    </w:p>
    <w:p>
      <w:pPr>
        <w:pStyle w:val="Heading3"/>
      </w:pPr>
      <w:r>
        <w:t>2.6 Forecast Origin and Feature Construction</w:t>
      </w:r>
    </w:p>
    <w:p>
      <w:ins w:id="1028" w:author="Siddalingaiah H S" w:date="2026-08-29T00:00:00Z">
        <w:r>
          <w:t xml:space="preserve">The forecasting task is explicit: </w:t>
        </w:r>
        <w:r>
          <w:rPr>
            <w:b/>
          </w:rPr>
          <w:t xml:space="preserve">using only information observable up to 31 December of year </w:t>
        </w:r>
        <w:r>
          <w:rPr>
            <w:b/>
            <w:i/>
          </w:rPr>
          <w:t>t</w:t>
        </w:r>
        <w:r>
          <w:rPr>
            <w:b/>
          </w:rPr>
          <w:t xml:space="preserve">−1, predict the reported dengue case total of year </w:t>
        </w:r>
        <w:r>
          <w:rPr>
            <w:b/>
            <w:i/>
          </w:rPr>
          <w:t>t</w:t>
        </w:r>
        <w:r>
          <w:t xml:space="preserve">. Predictors comprise cases in years </w:t>
        </w:r>
        <w:r>
          <w:rPr>
            <w:i/>
          </w:rPr>
          <w:t>t</w:t>
        </w:r>
        <w:r>
          <w:t xml:space="preserve">−1 and </w:t>
        </w:r>
        <w:r>
          <w:rPr>
            <w:i/>
          </w:rPr>
          <w:t>t</w:t>
        </w:r>
        <w:r>
          <w:t xml:space="preserve">−2 (log-transformed), the year-on-year log growth rate between them, and the expanding mean and maximum of all prior years — each formed by lagging the outcome series </w:t>
        </w:r>
        <w:r>
          <w:rPr>
            <w:i/>
          </w:rPr>
          <w:t>before</w:t>
        </w:r>
        <w:r>
          <w:t xml:space="preserv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ins>
    </w:p>
    <w:p>
      <w:pPr>
        <w:pStyle w:val="Heading3"/>
      </w:pPr>
      <w:r>
        <w:t>2.7 Benchmarks, Validation and Metrics</w:t>
      </w:r>
    </w:p>
    <w:p>
      <w:ins w:id="1029" w:author="Siddalingaiah H S" w:date="2026-08-29T00:00:00Z">
        <w:r>
          <w:t xml:space="preserve">All models were evaluated on </w:t>
        </w:r>
        <w:r>
          <w:rPr>
            <w:b/>
          </w:rPr>
          <w:t>identical expanding-window splits</w:t>
        </w:r>
        <w:r>
          <w:t>: for each target year, training used every eligible state-year strictly before it. We compared seven specifications:</w:t>
        </w:r>
      </w:ins>
    </w:p>
    <w:p>
      <w:ins w:id="1030" w:author="Siddalingaiah H S" w:date="2026-08-29T00:00:00Z">
        <w:r>
          <w:t xml:space="preserve">1. </w:t>
        </w:r>
        <w:r>
          <w:rPr>
            <w:b/>
          </w:rPr>
          <w:t>Persistence</w:t>
        </w:r>
        <w:r>
          <w:t xml:space="preserve"> — the previous year's count.</w:t>
        </w:r>
      </w:ins>
    </w:p>
    <w:p>
      <w:ins w:id="1031" w:author="Siddalingaiah H S" w:date="2026-08-29T00:00:00Z">
        <w:r>
          <w:t xml:space="preserve">2. </w:t>
        </w:r>
        <w:r>
          <w:rPr>
            <w:b/>
          </w:rPr>
          <w:t>State climatology</w:t>
        </w:r>
        <w:r>
          <w:t xml:space="preserve"> — the state's mean count over the training window only.</w:t>
        </w:r>
      </w:ins>
    </w:p>
    <w:p>
      <w:ins w:id="1032" w:author="Siddalingaiah H S" w:date="2026-08-29T00:00:00Z">
        <w:r>
          <w:t xml:space="preserve">3. </w:t>
        </w:r>
        <w:r>
          <w:rPr>
            <w:b/>
          </w:rPr>
          <w:t>Global annual mean</w:t>
        </w:r>
        <w:r>
          <w:t xml:space="preserve"> — a single national constant.</w:t>
        </w:r>
      </w:ins>
    </w:p>
    <w:p>
      <w:ins w:id="1033" w:author="Siddalingaiah H S" w:date="2026-08-29T00:00:00Z">
        <w:r>
          <w:t xml:space="preserve">4. </w:t>
        </w:r>
        <w:r>
          <w:rPr>
            <w:b/>
          </w:rPr>
          <w:t>Negative-binomial GLM (history)</w:t>
        </w:r>
        <w:r>
          <w:t xml:space="preserve"> — log-lagged counts with a log-population offset.</w:t>
        </w:r>
      </w:ins>
    </w:p>
    <w:p>
      <w:ins w:id="1034" w:author="Siddalingaiah H S" w:date="2026-08-29T00:00:00Z">
        <w:r>
          <w:t xml:space="preserve">5. </w:t>
        </w:r>
        <w:r>
          <w:rPr>
            <w:b/>
          </w:rPr>
          <w:t>Negative-binomial GLM (full)</w:t>
        </w:r>
        <w:r>
          <w:t xml:space="preserve"> — as above plus structural covariates.</w:t>
        </w:r>
      </w:ins>
    </w:p>
    <w:p>
      <w:ins w:id="1035" w:author="Siddalingaiah H S" w:date="2026-08-29T00:00:00Z">
        <w:r>
          <w:t xml:space="preserve">6. </w:t>
        </w:r>
        <w:r>
          <w:rPr>
            <w:b/>
          </w:rPr>
          <w:t>Gradient boosting (history only)</w:t>
        </w:r>
        <w:r>
          <w:t xml:space="preserve"> </w:t>
        </w:r>
        <w:r>
          <w:rPr>
            <w:vertAlign w:val="superscript"/>
          </w:rPr>
          <w:t>12</w:t>
        </w:r>
        <w:r>
          <w:t xml:space="preserve"> — 300 trees, depth 2, learning rate 0.05, subsample 0.9.</w:t>
        </w:r>
      </w:ins>
    </w:p>
    <w:p>
      <w:ins w:id="1036" w:author="Siddalingaiah H S" w:date="2026-08-29T00:00:00Z">
        <w:r>
          <w:t xml:space="preserve">7. </w:t>
        </w:r>
        <w:r>
          <w:rPr>
            <w:b/>
          </w:rPr>
          <w:t>Gradient boosting (multi-modal)</w:t>
        </w:r>
        <w:r>
          <w:t xml:space="preserve"> — identical configuration on history plus structural covariates.</w:t>
        </w:r>
      </w:ins>
    </w:p>
    <w:p>
      <w:ins w:id="1037" w:author="Siddalingaiah H S" w:date="2026-08-29T00:00:00Z">
        <w:r>
          <w:t>Hyperparameters were fixed a priori rather than tuned against the evaluation folds. We report pooled R² on the log scale, MAE and RMSE on the case scale, and mean per-origin R².</w:t>
        </w:r>
      </w:ins>
    </w:p>
    <w:p>
      <w:ins w:id="1038" w:author="Siddalingaiah H S" w:date="2026-08-29T00:00:00Z">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ins>
    </w:p>
    <w:p>
      <w:pPr>
        <w:pStyle w:val="Heading3"/>
      </w:pPr>
      <w:r>
        <w:t>2.8 Outbreak-Year Classification</w:t>
      </w:r>
    </w:p>
    <w:p>
      <w:ins w:id="1039" w:author="Siddalingaiah H S" w:date="2026-08-29T00:00:00Z">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ins>
    </w:p>
    <w:p>
      <w:pPr>
        <w:pStyle w:val="Heading3"/>
      </w:pPr>
      <w:r>
        <w:t>2.9 Interpretability</w:t>
      </w:r>
    </w:p>
    <w:p>
      <w:ins w:id="1040" w:author="Siddalingaiah H S" w:date="2026-08-29T00:00:00Z">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ins>
    </w:p>
    <w:p>
      <w:pPr>
        <w:pStyle w:val="Heading3"/>
      </w:pPr>
      <w:r>
        <w:t>2.10 Between-State Associations</w:t>
      </w:r>
    </w:p>
    <w:p>
      <w:ins w:id="1041" w:author="Siddalingaiah H S" w:date="2026-08-29T00:00:00Z">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ins>
    </w:p>
    <w:p>
      <w:pPr>
        <w:pStyle w:val="Heading3"/>
      </w:pPr>
      <w:r>
        <w:t>2.11 Leakage Experiment</w:t>
      </w:r>
    </w:p>
    <w:p>
      <w:ins w:id="1042" w:author="Siddalingaiah H S" w:date="2026-08-29T00:00:00Z">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ins>
    </w:p>
    <w:p>
      <w:pPr>
        <w:pStyle w:val="Heading3"/>
      </w:pPr>
      <w:r>
        <w:t>2.12 Software and Reproducibility</w:t>
      </w:r>
    </w:p>
    <w:p>
      <w:ins w:id="1043" w:author="Siddalingaiah H S" w:date="2026-08-29T00:00:00Z">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ins>
    </w:p>
    <w:p>
      <w:pPr>
        <w:pStyle w:val="Heading3"/>
      </w:pPr>
      <w:r>
        <w:t>2.13 Ethics</w:t>
      </w:r>
    </w:p>
    <w:p>
      <w:r>
        <w:t xml:space="preserve">The study used only aggregated, anonymised, publicly available state-level data and involved no individual participants; institutional ethics approval and consent were </w:t>
      </w:r>
      <w:del w:id="1044" w:author="Siddalingaiah H S" w:date="2026-08-29T00:00:00Z">
        <w:r>
          <w:delText xml:space="preserve">therefore </w:delText>
        </w:r>
      </w:del>
      <w:r>
        <w:t xml:space="preserve">not applicable. </w:t>
      </w:r>
    </w:p>
    <w:p>
      <w:pPr>
        <w:pStyle w:val="Heading1"/>
      </w:pPr>
      <w:r>
        <w:t>3. Results</w:t>
      </w:r>
    </w:p>
    <w:p>
      <w:pPr>
        <w:pStyle w:val="Heading3"/>
      </w:pPr>
      <w:r>
        <w:t>3.1 An Authenticated Panel</w:t>
      </w:r>
    </w:p>
    <w:p>
      <w:ins w:id="1045" w:author="Siddalingaiah H S" w:date="2026-08-29T00:00:00Z">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ins>
    </w:p>
    <w:p>
      <w:pPr>
        <w:pStyle w:val="Heading3"/>
      </w:pPr>
      <w:r>
        <w:t>3.2 No Model Outperforms Elementary Baselines</w:t>
      </w:r>
    </w:p>
    <w:p>
      <w:ins w:id="1046" w:author="Siddalingaiah H S" w:date="2026-08-29T00:00:00Z">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ins>
    </w:p>
    <w:p>
      <w:pPr>
        <w:pStyle w:val="Heading3"/>
      </w:pPr>
      <w:r>
        <w:t>3.3 Pooled Skill Is Entirely Between-State</w:t>
      </w:r>
    </w:p>
    <w:p>
      <w:ins w:id="1047" w:author="Siddalingaiah H S" w:date="2026-08-29T00:00:00Z">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ins>
    </w:p>
    <w:p>
      <w:ins w:id="1048" w:author="Siddalingaiah H S" w:date="2026-08-29T00:00:00Z">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ins>
    </w:p>
    <w:p>
      <w:ins w:id="1049" w:author="Siddalingaiah H S" w:date="2026-08-29T00:00:00Z">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ins>
    </w:p>
    <w:p>
      <w:pPr>
        <w:pStyle w:val="Heading3"/>
      </w:pPr>
      <w:r>
        <w:t>3.4 Where the Structure Is: Between-State Burden</w:t>
      </w:r>
    </w:p>
    <w:p>
      <w:ins w:id="1050" w:author="Siddalingaiah H S" w:date="2026-08-29T00:00:00Z">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ins>
    </w:p>
    <w:p>
      <w:ins w:id="1051" w:author="Siddalingaiah H S" w:date="2026-08-29T00:00:00Z">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ins>
    </w:p>
    <w:p>
      <w:ins w:id="1052" w:author="Siddalingaiah H S" w:date="2026-08-29T00:00:00Z">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ins>
    </w:p>
    <w:p>
      <w:pPr>
        <w:pStyle w:val="Heading3"/>
      </w:pPr>
      <w:r>
        <w:t>3.5 How Much Do Design Defects Inflate Performance?</w:t>
      </w:r>
    </w:p>
    <w:p>
      <w:ins w:id="1053" w:author="Siddalingaiah H S" w:date="2026-08-29T00:00:00Z">
        <w:r>
          <w:t>The leakage experiment quantifies the cost of the two defects most common in this literature (</w:t>
        </w:r>
        <w:r>
          <w:rPr>
            <w:b/>
          </w:rPr>
          <w:t>Table 4</w:t>
        </w:r>
        <w:r>
          <w:t xml:space="preserve">, </w:t>
        </w:r>
        <w:r>
          <w:rPr>
            <w:b/>
          </w:rPr>
          <w:t>Figure 7</w:t>
        </w:r>
        <w:r>
          <w:t>). Against the leakage-free benchmark of R² = 0.551:</w:t>
        </w:r>
      </w:ins>
    </w:p>
    <w:p>
      <w:pPr>
        <w:pStyle w:val="ListBullet"/>
      </w:pPr>
      <w:ins w:id="1054" w:author="Siddalingaiah H S" w:date="2026-08-29T00:00:00Z">
        <w:r>
          <w:t xml:space="preserve">Adding a </w:t>
        </w:r>
        <w:r>
          <w:rPr>
            <w:b/>
          </w:rPr>
          <w:t>three-year rolling mean computed without lagging the outcome</w:t>
        </w:r>
        <w:r>
          <w:t xml:space="preserve"> — so that the predictor contains the target year — raised apparent R² to </w:t>
        </w:r>
        <w:r>
          <w:rPr>
            <w:b/>
          </w:rPr>
          <w:t>0.759</w:t>
        </w:r>
        <w:r>
          <w:t xml:space="preserve">, an inflation of </w:t>
        </w:r>
        <w:r>
          <w:rPr>
            <w:b/>
          </w:rPr>
          <w:t>+0.209</w:t>
        </w:r>
        <w:r>
          <w:t>.</w:t>
        </w:r>
      </w:ins>
    </w:p>
    <w:p>
      <w:pPr>
        <w:pStyle w:val="ListBullet"/>
      </w:pPr>
      <w:ins w:id="1055" w:author="Siddalingaiah H S" w:date="2026-08-29T00:00:00Z">
        <w:r>
          <w:t xml:space="preserve">Replacing temporal splits with </w:t>
        </w:r>
        <w:r>
          <w:rPr>
            <w:b/>
          </w:rPr>
          <w:t>random-split cross-validation</w:t>
        </w:r>
        <w:r>
          <w:t xml:space="preserve"> raised it to </w:t>
        </w:r>
        <w:r>
          <w:rPr>
            <w:b/>
          </w:rPr>
          <w:t>0.626</w:t>
        </w:r>
        <w:r>
          <w:t xml:space="preserve">, an inflation of </w:t>
        </w:r>
        <w:r>
          <w:rPr>
            <w:b/>
          </w:rPr>
          <w:t>+0.075</w:t>
        </w:r>
        <w:r>
          <w:t>.</w:t>
        </w:r>
      </w:ins>
    </w:p>
    <w:p>
      <w:pPr>
        <w:pStyle w:val="ListBullet"/>
      </w:pPr>
      <w:ins w:id="1056" w:author="Siddalingaiah H S" w:date="2026-08-29T00:00:00Z">
        <w:r>
          <w:t xml:space="preserve">Defining outbreak thresholds on the </w:t>
        </w:r>
        <w:r>
          <w:rPr>
            <w:b/>
          </w:rPr>
          <w:t>full panel</w:t>
        </w:r>
        <w:r>
          <w:t xml:space="preserve"> rather than the expanding window raised AUC from 0.522 to 0.544.</w:t>
        </w:r>
      </w:ins>
    </w:p>
    <w:p>
      <w:ins w:id="1057" w:author="Siddalingaiah H S" w:date="2026-08-29T00:00:00Z">
        <w:r>
          <w:t>These are conservative estimates: the defects were introduced one at a time on annual data. At monthly resolution, where autocorrelation is far stronger and a rolling window overlaps the target far more heavily, the same defects would compound substantially.</w:t>
        </w:r>
      </w:ins>
    </w:p>
    <w:p>
      <w:pPr>
        <w:pStyle w:val="Heading1"/>
      </w:pPr>
      <w:r>
        <w:t>4. Discussion</w:t>
      </w:r>
    </w:p>
    <w:p>
      <w:pPr>
        <w:pStyle w:val="Heading3"/>
      </w:pPr>
      <w:r>
        <w:t>4.1 Principal Findings</w:t>
      </w:r>
    </w:p>
    <w:p>
      <w:ins w:id="1058" w:author="Siddalingaiah H S" w:date="2026-08-29T00:00:00Z">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ins>
    </w:p>
    <w:p>
      <w:ins w:id="1059" w:author="Siddalingaiah H S" w:date="2026-08-29T00:00:00Z">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ins>
    </w:p>
    <w:p>
      <w:pPr>
        <w:pStyle w:val="Heading3"/>
      </w:pPr>
      <w:r>
        <w:t>4.2 Reconciling the Two Results</w:t>
      </w:r>
    </w:p>
    <w:p>
      <w:ins w:id="1060" w:author="Siddalingaiah H S" w:date="2026-08-29T00:00:00Z">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ins>
    </w:p>
    <w:p>
      <w:ins w:id="1061" w:author="Siddalingaiah H S" w:date="2026-08-29T00:00:00Z">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ins>
    </w:p>
    <w:p>
      <w:pPr>
        <w:pStyle w:val="Heading3"/>
      </w:pPr>
      <w:r>
        <w:t>4.3 Implications for the Dengue Prediction Literature</w:t>
      </w:r>
    </w:p>
    <w:p>
      <w:ins w:id="1062" w:author="Siddalingaiah H S" w:date="2026-08-29T00:00:00Z">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ins>
    </w:p>
    <w:p>
      <w:pPr>
        <w:pStyle w:val="Heading3"/>
      </w:pPr>
      <w:r>
        <w:t>4.4 Relation to Prior Work</w:t>
      </w:r>
    </w:p>
    <w:p>
      <w:ins w:id="1063" w:author="Siddalingaiah H S" w:date="2026-08-29T00:00:00Z">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ins>
    </w:p>
    <w:p>
      <w:pPr>
        <w:pStyle w:val="Heading3"/>
      </w:pPr>
      <w:r>
        <w:t>4.5 Strengths and Limitations</w:t>
      </w:r>
    </w:p>
    <w:p>
      <w:ins w:id="1064" w:author="Siddalingaiah H S" w:date="2026-08-29T00:00:00Z">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ins>
    </w:p>
    <w:p>
      <w:ins w:id="1065" w:author="Siddalingaiah H S" w:date="2026-08-29T00:00:00Z">
        <w:r>
          <w:t>Limitations are substantial and we state them plainly.</w:t>
        </w:r>
      </w:ins>
    </w:p>
    <w:p>
      <w:ins w:id="1066" w:author="Siddalingaiah H S" w:date="2026-08-29T00:00:00Z">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ins>
    </w:p>
    <w:p>
      <w:ins w:id="1067" w:author="Siddalingaiah H S" w:date="2026-08-29T00:00:00Z">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ins>
    </w:p>
    <w:p>
      <w:ins w:id="1068" w:author="Siddalingaiah H S" w:date="2026-08-29T00:00:00Z">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ins>
    </w:p>
    <w:p>
      <w:ins w:id="1069" w:author="Siddalingaiah H S" w:date="2026-08-29T00:00:00Z">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ins>
    </w:p>
    <w:p>
      <w:ins w:id="1070" w:author="Siddalingaiah H S" w:date="2026-08-29T00:00:00Z">
        <w:r>
          <w:t xml:space="preserve">5. </w:t>
        </w:r>
        <w:r>
          <w:rPr>
            <w:b/>
          </w:rPr>
          <w:t>Ecological design.</w:t>
        </w:r>
        <w:r>
          <w:t xml:space="preserve"> No individual-level inference is possible, and time-invariant covariates cannot capture within-period change.</w:t>
        </w:r>
      </w:ins>
    </w:p>
    <w:p>
      <w:ins w:id="1071" w:author="Siddalingaiah H S" w:date="2026-08-29T00:00:00Z">
        <w:r>
          <w:t xml:space="preserve">6. </w:t>
        </w:r>
        <w:r>
          <w:rPr>
            <w:b/>
          </w:rPr>
          <w:t>Selection.</w:t>
        </w:r>
        <w:r>
          <w:t xml:space="preserve"> Requiring ten complete annual returns excludes one state and may modestly favour better-reporting jurisdictions.</w:t>
        </w:r>
      </w:ins>
    </w:p>
    <w:p>
      <w:pPr>
        <w:pStyle w:val="Heading1"/>
      </w:pPr>
      <w:r>
        <w:t>5. Conclusions</w:t>
      </w:r>
    </w:p>
    <w:p>
      <w:ins w:id="1072" w:author="Siddalingaiah H S" w:date="2026-08-29T00:00:00Z">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ins>
    </w:p>
    <w:p>
      <w:pPr>
        <w:pStyle w:val="Heading1"/>
      </w:pPr>
      <w:r>
        <w:t>6. Tables</w:t>
      </w:r>
    </w:p>
    <w:p>
      <w:pPr>
        <w:keepNext/>
        <w:spacing w:before="160"/>
      </w:pPr>
      <w:ins w:id="1073" w:author="Siddalingaiah H S" w:date="2026-08-29T00:00:00Z">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val="true"/>
        </w:trPr>
        <w:tc>
          <w:tcPr>
            <w:tcW w:type="dxa" w:w="1680"/>
          </w:tcPr>
          <w:p>
            <w:pPr>
              <w:jc w:val="left"/>
            </w:pPr>
            <w:r/>
            <w:r>
              <w:rPr>
                <w:b/>
                <w:sz w:val="18"/>
              </w:rPr>
              <w:t>Model</w:t>
            </w:r>
          </w:p>
        </w:tc>
        <w:tc>
          <w:tcPr>
            <w:tcW w:type="dxa" w:w="1680"/>
          </w:tcPr>
          <w:p>
            <w:pPr>
              <w:jc w:val="center"/>
            </w:pPr>
            <w:r/>
            <w:r>
              <w:rPr>
                <w:b/>
                <w:sz w:val="18"/>
              </w:rPr>
              <w:t>Pooled R² (log scale)</w:t>
            </w:r>
          </w:p>
        </w:tc>
        <w:tc>
          <w:tcPr>
            <w:tcW w:type="dxa" w:w="1680"/>
          </w:tcPr>
          <w:p>
            <w:pPr>
              <w:jc w:val="center"/>
            </w:pPr>
            <w:r/>
            <w:r>
              <w:rPr>
                <w:b/>
                <w:sz w:val="18"/>
              </w:rPr>
              <w:t>Within-state R²</w:t>
            </w:r>
          </w:p>
        </w:tc>
        <w:tc>
          <w:tcPr>
            <w:tcW w:type="dxa" w:w="1680"/>
          </w:tcPr>
          <w:p>
            <w:pPr>
              <w:jc w:val="center"/>
            </w:pPr>
            <w:r/>
            <w:r>
              <w:rPr>
                <w:b/>
                <w:sz w:val="18"/>
              </w:rPr>
              <w:t>MAE (log scale)</w:t>
            </w:r>
          </w:p>
        </w:tc>
        <w:tc>
          <w:tcPr>
            <w:tcW w:type="dxa" w:w="1680"/>
          </w:tcPr>
          <w:p>
            <w:pPr>
              <w:jc w:val="center"/>
            </w:pPr>
            <w:r/>
            <w:r>
              <w:rPr>
                <w:b/>
                <w:sz w:val="18"/>
              </w:rPr>
              <w:t>MAE (cases)</w:t>
            </w:r>
          </w:p>
        </w:tc>
        <w:tc>
          <w:tcPr>
            <w:tcW w:type="dxa" w:w="1680"/>
          </w:tcPr>
          <w:p>
            <w:pPr>
              <w:jc w:val="center"/>
            </w:pPr>
            <w:r/>
            <w:r>
              <w:rPr>
                <w:b/>
                <w:sz w:val="18"/>
              </w:rPr>
              <w:t>RMSE (cases)</w:t>
            </w:r>
          </w:p>
        </w:tc>
      </w:tr>
      <w:tr>
        <w:trPr>
          <w:cantSplit w:val="true"/>
        </w:trPr>
        <w:tc>
          <w:tcPr>
            <w:tcW w:type="dxa" w:w="1680"/>
          </w:tcPr>
          <w:p>
            <w:pPr>
              <w:jc w:val="left"/>
            </w:pPr>
            <w:r>
              <w:rPr>
                <w:sz w:val="18"/>
              </w:rPr>
            </w:r>
            <w:r>
              <w:rPr>
                <w:sz w:val="18"/>
              </w:rPr>
              <w:t>State climatology (training mean)</w:t>
            </w:r>
          </w:p>
        </w:tc>
        <w:tc>
          <w:tcPr>
            <w:tcW w:type="dxa" w:w="1680"/>
          </w:tcPr>
          <w:p>
            <w:pPr>
              <w:jc w:val="center"/>
            </w:pPr>
            <w:r>
              <w:rPr>
                <w:sz w:val="18"/>
              </w:rPr>
            </w:r>
            <w:r>
              <w:rPr>
                <w:b/>
                <w:sz w:val="18"/>
              </w:rPr>
              <w:t>0.637</w:t>
            </w:r>
          </w:p>
        </w:tc>
        <w:tc>
          <w:tcPr>
            <w:tcW w:type="dxa" w:w="1680"/>
          </w:tcPr>
          <w:p>
            <w:pPr>
              <w:jc w:val="center"/>
            </w:pPr>
            <w:r>
              <w:rPr>
                <w:sz w:val="18"/>
              </w:rPr>
            </w:r>
            <w:r>
              <w:rPr>
                <w:sz w:val="18"/>
              </w:rPr>
              <w:t>−0.002</w:t>
            </w:r>
          </w:p>
        </w:tc>
        <w:tc>
          <w:tcPr>
            <w:tcW w:type="dxa" w:w="1680"/>
          </w:tcPr>
          <w:p>
            <w:pPr>
              <w:jc w:val="center"/>
            </w:pPr>
            <w:r>
              <w:rPr>
                <w:sz w:val="18"/>
              </w:rPr>
            </w:r>
            <w:r>
              <w:rPr>
                <w:sz w:val="18"/>
              </w:rPr>
              <w:t>0.989</w:t>
            </w:r>
          </w:p>
        </w:tc>
        <w:tc>
          <w:tcPr>
            <w:tcW w:type="dxa" w:w="1680"/>
          </w:tcPr>
          <w:p>
            <w:pPr>
              <w:jc w:val="center"/>
            </w:pPr>
            <w:r>
              <w:rPr>
                <w:sz w:val="18"/>
              </w:rPr>
            </w:r>
            <w:r>
              <w:rPr>
                <w:sz w:val="18"/>
              </w:rPr>
              <w:t>2 830</w:t>
            </w:r>
          </w:p>
        </w:tc>
        <w:tc>
          <w:tcPr>
            <w:tcW w:type="dxa" w:w="1680"/>
          </w:tcPr>
          <w:p>
            <w:pPr>
              <w:jc w:val="center"/>
            </w:pPr>
            <w:r>
              <w:rPr>
                <w:sz w:val="18"/>
              </w:rPr>
            </w:r>
            <w:r>
              <w:rPr>
                <w:sz w:val="18"/>
              </w:rPr>
              <w:t>5 092</w:t>
            </w:r>
          </w:p>
        </w:tc>
      </w:tr>
      <w:tr>
        <w:trPr>
          <w:cantSplit w:val="true"/>
        </w:trPr>
        <w:tc>
          <w:tcPr>
            <w:tcW w:type="dxa" w:w="1680"/>
          </w:tcPr>
          <w:p>
            <w:pPr>
              <w:jc w:val="left"/>
            </w:pPr>
            <w:r>
              <w:rPr>
                <w:sz w:val="18"/>
              </w:rPr>
            </w:r>
            <w:r>
              <w:rPr>
                <w:sz w:val="18"/>
              </w:rPr>
              <w:t>Negative-binomial GLM (full)</w:t>
            </w:r>
          </w:p>
        </w:tc>
        <w:tc>
          <w:tcPr>
            <w:tcW w:type="dxa" w:w="1680"/>
          </w:tcPr>
          <w:p>
            <w:pPr>
              <w:jc w:val="center"/>
            </w:pPr>
            <w:r>
              <w:rPr>
                <w:sz w:val="18"/>
              </w:rPr>
            </w:r>
            <w:r>
              <w:rPr>
                <w:sz w:val="18"/>
              </w:rPr>
              <w:t>0.607</w:t>
            </w:r>
          </w:p>
        </w:tc>
        <w:tc>
          <w:tcPr>
            <w:tcW w:type="dxa" w:w="1680"/>
          </w:tcPr>
          <w:p>
            <w:pPr>
              <w:jc w:val="center"/>
            </w:pPr>
            <w:r>
              <w:rPr>
                <w:sz w:val="18"/>
              </w:rPr>
            </w:r>
            <w:r>
              <w:rPr>
                <w:sz w:val="18"/>
              </w:rPr>
              <w:t>−0.084</w:t>
            </w:r>
          </w:p>
        </w:tc>
        <w:tc>
          <w:tcPr>
            <w:tcW w:type="dxa" w:w="1680"/>
          </w:tcPr>
          <w:p>
            <w:pPr>
              <w:jc w:val="center"/>
            </w:pPr>
            <w:r>
              <w:rPr>
                <w:sz w:val="18"/>
              </w:rPr>
            </w:r>
            <w:r>
              <w:rPr>
                <w:sz w:val="18"/>
              </w:rPr>
              <w:t>1.055</w:t>
            </w:r>
          </w:p>
        </w:tc>
        <w:tc>
          <w:tcPr>
            <w:tcW w:type="dxa" w:w="1680"/>
          </w:tcPr>
          <w:p>
            <w:pPr>
              <w:jc w:val="center"/>
            </w:pPr>
            <w:r>
              <w:rPr>
                <w:sz w:val="18"/>
              </w:rPr>
            </w:r>
            <w:r>
              <w:rPr>
                <w:sz w:val="18"/>
              </w:rPr>
              <w:t>3 110</w:t>
            </w:r>
          </w:p>
        </w:tc>
        <w:tc>
          <w:tcPr>
            <w:tcW w:type="dxa" w:w="1680"/>
          </w:tcPr>
          <w:p>
            <w:pPr>
              <w:jc w:val="center"/>
            </w:pPr>
            <w:r>
              <w:rPr>
                <w:sz w:val="18"/>
              </w:rPr>
            </w:r>
            <w:r>
              <w:rPr>
                <w:sz w:val="18"/>
              </w:rPr>
              <w:t>5 721</w:t>
            </w:r>
          </w:p>
        </w:tc>
      </w:tr>
      <w:tr>
        <w:trPr>
          <w:cantSplit w:val="true"/>
        </w:trPr>
        <w:tc>
          <w:tcPr>
            <w:tcW w:type="dxa" w:w="1680"/>
          </w:tcPr>
          <w:p>
            <w:pPr>
              <w:jc w:val="left"/>
            </w:pPr>
            <w:r>
              <w:rPr>
                <w:sz w:val="18"/>
              </w:rPr>
            </w:r>
            <w:r>
              <w:rPr>
                <w:sz w:val="18"/>
              </w:rPr>
              <w:t>Gradient boosting (multi-modal)</w:t>
            </w:r>
          </w:p>
        </w:tc>
        <w:tc>
          <w:tcPr>
            <w:tcW w:type="dxa" w:w="1680"/>
          </w:tcPr>
          <w:p>
            <w:pPr>
              <w:jc w:val="center"/>
            </w:pPr>
            <w:r>
              <w:rPr>
                <w:sz w:val="18"/>
              </w:rPr>
            </w:r>
            <w:r>
              <w:rPr>
                <w:sz w:val="18"/>
              </w:rPr>
              <w:t>0.551</w:t>
            </w:r>
          </w:p>
        </w:tc>
        <w:tc>
          <w:tcPr>
            <w:tcW w:type="dxa" w:w="1680"/>
          </w:tcPr>
          <w:p>
            <w:pPr>
              <w:jc w:val="center"/>
            </w:pPr>
            <w:r>
              <w:rPr>
                <w:sz w:val="18"/>
              </w:rPr>
            </w:r>
            <w:r>
              <w:rPr>
                <w:sz w:val="18"/>
              </w:rPr>
              <w:t>−0.239</w:t>
            </w:r>
          </w:p>
        </w:tc>
        <w:tc>
          <w:tcPr>
            <w:tcW w:type="dxa" w:w="1680"/>
          </w:tcPr>
          <w:p>
            <w:pPr>
              <w:jc w:val="center"/>
            </w:pPr>
            <w:r>
              <w:rPr>
                <w:sz w:val="18"/>
              </w:rPr>
            </w:r>
            <w:r>
              <w:rPr>
                <w:sz w:val="18"/>
              </w:rPr>
              <w:t>1.149</w:t>
            </w:r>
          </w:p>
        </w:tc>
        <w:tc>
          <w:tcPr>
            <w:tcW w:type="dxa" w:w="1680"/>
          </w:tcPr>
          <w:p>
            <w:pPr>
              <w:jc w:val="center"/>
            </w:pPr>
            <w:r>
              <w:rPr>
                <w:sz w:val="18"/>
              </w:rPr>
            </w:r>
            <w:r>
              <w:rPr>
                <w:sz w:val="18"/>
              </w:rPr>
              <w:t>3 052</w:t>
            </w:r>
          </w:p>
        </w:tc>
        <w:tc>
          <w:tcPr>
            <w:tcW w:type="dxa" w:w="1680"/>
          </w:tcPr>
          <w:p>
            <w:pPr>
              <w:jc w:val="center"/>
            </w:pPr>
            <w:r>
              <w:rPr>
                <w:sz w:val="18"/>
              </w:rPr>
            </w:r>
            <w:r>
              <w:rPr>
                <w:sz w:val="18"/>
              </w:rPr>
              <w:t>5 485</w:t>
            </w:r>
          </w:p>
        </w:tc>
      </w:tr>
      <w:tr>
        <w:trPr>
          <w:cantSplit w:val="true"/>
        </w:trPr>
        <w:tc>
          <w:tcPr>
            <w:tcW w:type="dxa" w:w="1680"/>
          </w:tcPr>
          <w:p>
            <w:pPr>
              <w:jc w:val="left"/>
            </w:pPr>
            <w:r>
              <w:rPr>
                <w:sz w:val="18"/>
              </w:rPr>
            </w:r>
            <w:r>
              <w:rPr>
                <w:sz w:val="18"/>
              </w:rPr>
              <w:t>Persistence (previous year)</w:t>
            </w:r>
          </w:p>
        </w:tc>
        <w:tc>
          <w:tcPr>
            <w:tcW w:type="dxa" w:w="1680"/>
          </w:tcPr>
          <w:p>
            <w:pPr>
              <w:jc w:val="center"/>
            </w:pPr>
            <w:r>
              <w:rPr>
                <w:sz w:val="18"/>
              </w:rPr>
            </w:r>
            <w:r>
              <w:rPr>
                <w:sz w:val="18"/>
              </w:rPr>
              <w:t>0.550</w:t>
            </w:r>
          </w:p>
        </w:tc>
        <w:tc>
          <w:tcPr>
            <w:tcW w:type="dxa" w:w="1680"/>
          </w:tcPr>
          <w:p>
            <w:pPr>
              <w:jc w:val="center"/>
            </w:pPr>
            <w:r>
              <w:rPr>
                <w:sz w:val="18"/>
              </w:rPr>
            </w:r>
            <w:r>
              <w:rPr>
                <w:sz w:val="18"/>
              </w:rPr>
              <w:t>−0.241</w:t>
            </w:r>
          </w:p>
        </w:tc>
        <w:tc>
          <w:tcPr>
            <w:tcW w:type="dxa" w:w="1680"/>
          </w:tcPr>
          <w:p>
            <w:pPr>
              <w:jc w:val="center"/>
            </w:pPr>
            <w:r>
              <w:rPr>
                <w:sz w:val="18"/>
              </w:rPr>
            </w:r>
            <w:r>
              <w:rPr>
                <w:sz w:val="18"/>
              </w:rPr>
              <w:t>1.109</w:t>
            </w:r>
          </w:p>
        </w:tc>
        <w:tc>
          <w:tcPr>
            <w:tcW w:type="dxa" w:w="1680"/>
          </w:tcPr>
          <w:p>
            <w:pPr>
              <w:jc w:val="center"/>
            </w:pPr>
            <w:r>
              <w:rPr>
                <w:sz w:val="18"/>
              </w:rPr>
            </w:r>
            <w:r>
              <w:rPr>
                <w:sz w:val="18"/>
              </w:rPr>
              <w:t>3 081</w:t>
            </w:r>
          </w:p>
        </w:tc>
        <w:tc>
          <w:tcPr>
            <w:tcW w:type="dxa" w:w="1680"/>
          </w:tcPr>
          <w:p>
            <w:pPr>
              <w:jc w:val="center"/>
            </w:pPr>
            <w:r>
              <w:rPr>
                <w:sz w:val="18"/>
              </w:rPr>
            </w:r>
            <w:r>
              <w:rPr>
                <w:sz w:val="18"/>
              </w:rPr>
              <w:t>5 531</w:t>
            </w:r>
          </w:p>
        </w:tc>
      </w:tr>
      <w:tr>
        <w:trPr>
          <w:cantSplit w:val="true"/>
        </w:trPr>
        <w:tc>
          <w:tcPr>
            <w:tcW w:type="dxa" w:w="1680"/>
          </w:tcPr>
          <w:p>
            <w:pPr>
              <w:jc w:val="left"/>
            </w:pPr>
            <w:r>
              <w:rPr>
                <w:sz w:val="18"/>
              </w:rPr>
            </w:r>
            <w:r>
              <w:rPr>
                <w:sz w:val="18"/>
              </w:rPr>
              <w:t>Gradient boosting (history only)</w:t>
            </w:r>
          </w:p>
        </w:tc>
        <w:tc>
          <w:tcPr>
            <w:tcW w:type="dxa" w:w="1680"/>
          </w:tcPr>
          <w:p>
            <w:pPr>
              <w:jc w:val="center"/>
            </w:pPr>
            <w:r>
              <w:rPr>
                <w:sz w:val="18"/>
              </w:rPr>
            </w:r>
            <w:r>
              <w:rPr>
                <w:sz w:val="18"/>
              </w:rPr>
              <w:t>0.488</w:t>
            </w:r>
          </w:p>
        </w:tc>
        <w:tc>
          <w:tcPr>
            <w:tcW w:type="dxa" w:w="1680"/>
          </w:tcPr>
          <w:p>
            <w:pPr>
              <w:jc w:val="center"/>
            </w:pPr>
            <w:r>
              <w:rPr>
                <w:sz w:val="18"/>
              </w:rPr>
            </w:r>
            <w:r>
              <w:rPr>
                <w:sz w:val="18"/>
              </w:rPr>
              <w:t>−0.413</w:t>
            </w:r>
          </w:p>
        </w:tc>
        <w:tc>
          <w:tcPr>
            <w:tcW w:type="dxa" w:w="1680"/>
          </w:tcPr>
          <w:p>
            <w:pPr>
              <w:jc w:val="center"/>
            </w:pPr>
            <w:r>
              <w:rPr>
                <w:sz w:val="18"/>
              </w:rPr>
            </w:r>
            <w:r>
              <w:rPr>
                <w:sz w:val="18"/>
              </w:rPr>
              <w:t>1.223</w:t>
            </w:r>
          </w:p>
        </w:tc>
        <w:tc>
          <w:tcPr>
            <w:tcW w:type="dxa" w:w="1680"/>
          </w:tcPr>
          <w:p>
            <w:pPr>
              <w:jc w:val="center"/>
            </w:pPr>
            <w:r>
              <w:rPr>
                <w:sz w:val="18"/>
              </w:rPr>
            </w:r>
            <w:r>
              <w:rPr>
                <w:sz w:val="18"/>
              </w:rPr>
              <w:t>3 223</w:t>
            </w:r>
          </w:p>
        </w:tc>
        <w:tc>
          <w:tcPr>
            <w:tcW w:type="dxa" w:w="1680"/>
          </w:tcPr>
          <w:p>
            <w:pPr>
              <w:jc w:val="center"/>
            </w:pPr>
            <w:r>
              <w:rPr>
                <w:sz w:val="18"/>
              </w:rPr>
            </w:r>
            <w:r>
              <w:rPr>
                <w:sz w:val="18"/>
              </w:rPr>
              <w:t>5 838</w:t>
            </w:r>
          </w:p>
        </w:tc>
      </w:tr>
      <w:tr>
        <w:trPr>
          <w:cantSplit w:val="true"/>
        </w:trPr>
        <w:tc>
          <w:tcPr>
            <w:tcW w:type="dxa" w:w="1680"/>
          </w:tcPr>
          <w:p>
            <w:pPr>
              <w:jc w:val="left"/>
            </w:pPr>
            <w:r>
              <w:rPr>
                <w:sz w:val="18"/>
              </w:rPr>
            </w:r>
            <w:r>
              <w:rPr>
                <w:sz w:val="18"/>
              </w:rPr>
              <w:t>Negative-binomial GLM (history)</w:t>
            </w:r>
          </w:p>
        </w:tc>
        <w:tc>
          <w:tcPr>
            <w:tcW w:type="dxa" w:w="1680"/>
          </w:tcPr>
          <w:p>
            <w:pPr>
              <w:jc w:val="center"/>
            </w:pPr>
            <w:r>
              <w:rPr>
                <w:sz w:val="18"/>
              </w:rPr>
            </w:r>
            <w:r>
              <w:rPr>
                <w:sz w:val="18"/>
              </w:rPr>
              <w:t>0.292</w:t>
            </w:r>
          </w:p>
        </w:tc>
        <w:tc>
          <w:tcPr>
            <w:tcW w:type="dxa" w:w="1680"/>
          </w:tcPr>
          <w:p>
            <w:pPr>
              <w:jc w:val="center"/>
            </w:pPr>
            <w:r>
              <w:rPr>
                <w:sz w:val="18"/>
              </w:rPr>
            </w:r>
            <w:r>
              <w:rPr>
                <w:sz w:val="18"/>
              </w:rPr>
              <w:t>−0.953</w:t>
            </w:r>
          </w:p>
        </w:tc>
        <w:tc>
          <w:tcPr>
            <w:tcW w:type="dxa" w:w="1680"/>
          </w:tcPr>
          <w:p>
            <w:pPr>
              <w:jc w:val="center"/>
            </w:pPr>
            <w:r>
              <w:rPr>
                <w:sz w:val="18"/>
              </w:rPr>
            </w:r>
            <w:r>
              <w:rPr>
                <w:sz w:val="18"/>
              </w:rPr>
              <w:t>1.498</w:t>
            </w:r>
          </w:p>
        </w:tc>
        <w:tc>
          <w:tcPr>
            <w:tcW w:type="dxa" w:w="1680"/>
          </w:tcPr>
          <w:p>
            <w:pPr>
              <w:jc w:val="center"/>
            </w:pPr>
            <w:r>
              <w:rPr>
                <w:sz w:val="18"/>
              </w:rPr>
            </w:r>
            <w:r>
              <w:rPr>
                <w:sz w:val="18"/>
              </w:rPr>
              <w:t>8 525</w:t>
            </w:r>
          </w:p>
        </w:tc>
        <w:tc>
          <w:tcPr>
            <w:tcW w:type="dxa" w:w="1680"/>
          </w:tcPr>
          <w:p>
            <w:pPr>
              <w:jc w:val="center"/>
            </w:pPr>
            <w:r>
              <w:rPr>
                <w:sz w:val="18"/>
              </w:rPr>
            </w:r>
            <w:r>
              <w:rPr>
                <w:sz w:val="18"/>
              </w:rPr>
              <w:t>16 499</w:t>
            </w:r>
          </w:p>
        </w:tc>
      </w:tr>
      <w:tr>
        <w:trPr>
          <w:cantSplit w:val="true"/>
        </w:trPr>
        <w:tc>
          <w:tcPr>
            <w:tcW w:type="dxa" w:w="1680"/>
          </w:tcPr>
          <w:p>
            <w:pPr>
              <w:jc w:val="left"/>
            </w:pPr>
            <w:r>
              <w:rPr>
                <w:sz w:val="18"/>
              </w:rPr>
            </w:r>
            <w:r>
              <w:rPr>
                <w:sz w:val="18"/>
              </w:rPr>
              <w:t>Global annual mean</w:t>
            </w:r>
          </w:p>
        </w:tc>
        <w:tc>
          <w:tcPr>
            <w:tcW w:type="dxa" w:w="1680"/>
          </w:tcPr>
          <w:p>
            <w:pPr>
              <w:jc w:val="center"/>
            </w:pPr>
            <w:r>
              <w:rPr>
                <w:sz w:val="18"/>
              </w:rPr>
            </w:r>
            <w:r>
              <w:rPr>
                <w:sz w:val="18"/>
              </w:rPr>
              <w:t>−0.306</w:t>
            </w:r>
          </w:p>
        </w:tc>
        <w:tc>
          <w:tcPr>
            <w:tcW w:type="dxa" w:w="1680"/>
          </w:tcPr>
          <w:p>
            <w:pPr>
              <w:jc w:val="center"/>
            </w:pPr>
            <w:r>
              <w:rPr>
                <w:sz w:val="18"/>
              </w:rPr>
            </w:r>
            <w:r>
              <w:rPr>
                <w:sz w:val="18"/>
              </w:rPr>
              <w:t>−2.601</w:t>
            </w:r>
          </w:p>
        </w:tc>
        <w:tc>
          <w:tcPr>
            <w:tcW w:type="dxa" w:w="1680"/>
          </w:tcPr>
          <w:p>
            <w:pPr>
              <w:jc w:val="center"/>
            </w:pPr>
            <w:r>
              <w:rPr>
                <w:sz w:val="18"/>
              </w:rPr>
            </w:r>
            <w:r>
              <w:rPr>
                <w:sz w:val="18"/>
              </w:rPr>
              <w:t>1.934</w:t>
            </w:r>
          </w:p>
        </w:tc>
        <w:tc>
          <w:tcPr>
            <w:tcW w:type="dxa" w:w="1680"/>
          </w:tcPr>
          <w:p>
            <w:pPr>
              <w:jc w:val="center"/>
            </w:pPr>
            <w:r>
              <w:rPr>
                <w:sz w:val="18"/>
              </w:rPr>
            </w:r>
            <w:r>
              <w:rPr>
                <w:sz w:val="18"/>
              </w:rPr>
              <w:t>4 535</w:t>
            </w:r>
          </w:p>
        </w:tc>
        <w:tc>
          <w:tcPr>
            <w:tcW w:type="dxa" w:w="1680"/>
          </w:tcPr>
          <w:p>
            <w:pPr>
              <w:jc w:val="center"/>
            </w:pPr>
            <w:r>
              <w:rPr>
                <w:sz w:val="18"/>
              </w:rPr>
            </w:r>
            <w:r>
              <w:rPr>
                <w:sz w:val="18"/>
              </w:rPr>
              <w:t>6 417</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4" w:author="Siddalingaiah H S" w:date="2026-08-29T00:00:00Z">
        <w:r>
          <w:rPr>
            <w:b/>
          </w:rPr>
          <w:t>Table 2. Outbreak-year classification, expanding-window thresholds and training-derived decision cut-off (210 state-years; 95 outbreak years).</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Metric</w:t>
            </w:r>
          </w:p>
        </w:tc>
        <w:tc>
          <w:tcPr>
            <w:tcW w:type="dxa" w:w="3360"/>
          </w:tcPr>
          <w:p>
            <w:pPr>
              <w:jc w:val="center"/>
            </w:pPr>
            <w:r/>
            <w:r>
              <w:rPr>
                <w:b/>
                <w:sz w:val="18"/>
              </w:rPr>
              <w:t>Value</w:t>
            </w:r>
          </w:p>
        </w:tc>
        <w:tc>
          <w:tcPr>
            <w:tcW w:type="dxa" w:w="3360"/>
          </w:tcPr>
          <w:p>
            <w:pPr>
              <w:jc w:val="center"/>
            </w:pPr>
            <w:r/>
            <w:r>
              <w:rPr>
                <w:b/>
                <w:sz w:val="18"/>
              </w:rPr>
              <w:t>Non-informative reference</w:t>
            </w:r>
          </w:p>
        </w:tc>
      </w:tr>
      <w:tr>
        <w:trPr>
          <w:cantSplit w:val="true"/>
        </w:trPr>
        <w:tc>
          <w:tcPr>
            <w:tcW w:type="dxa" w:w="3360"/>
          </w:tcPr>
          <w:p>
            <w:pPr>
              <w:jc w:val="left"/>
            </w:pPr>
            <w:r>
              <w:rPr>
                <w:sz w:val="18"/>
              </w:rPr>
            </w:r>
            <w:r>
              <w:rPr>
                <w:sz w:val="18"/>
              </w:rPr>
              <w:t>AUC-ROC</w:t>
            </w:r>
          </w:p>
        </w:tc>
        <w:tc>
          <w:tcPr>
            <w:tcW w:type="dxa" w:w="3360"/>
          </w:tcPr>
          <w:p>
            <w:pPr>
              <w:jc w:val="center"/>
            </w:pPr>
            <w:r>
              <w:rPr>
                <w:sz w:val="18"/>
              </w:rPr>
            </w:r>
            <w:r>
              <w:rPr>
                <w:sz w:val="18"/>
              </w:rPr>
              <w:t>0.522</w:t>
            </w:r>
          </w:p>
        </w:tc>
        <w:tc>
          <w:tcPr>
            <w:tcW w:type="dxa" w:w="3360"/>
          </w:tcPr>
          <w:p>
            <w:pPr>
              <w:jc w:val="center"/>
            </w:pPr>
            <w:r>
              <w:rPr>
                <w:sz w:val="18"/>
              </w:rPr>
            </w:r>
            <w:r>
              <w:rPr>
                <w:sz w:val="18"/>
              </w:rPr>
              <w:t>0.500</w:t>
            </w:r>
          </w:p>
        </w:tc>
      </w:tr>
      <w:tr>
        <w:trPr>
          <w:cantSplit w:val="true"/>
        </w:trPr>
        <w:tc>
          <w:tcPr>
            <w:tcW w:type="dxa" w:w="3360"/>
          </w:tcPr>
          <w:p>
            <w:pPr>
              <w:jc w:val="left"/>
            </w:pPr>
            <w:r>
              <w:rPr>
                <w:sz w:val="18"/>
              </w:rPr>
            </w:r>
            <w:r>
              <w:rPr>
                <w:sz w:val="18"/>
              </w:rPr>
              <w:t>Average precision</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r>
        <w:trPr>
          <w:cantSplit w:val="true"/>
        </w:trPr>
        <w:tc>
          <w:tcPr>
            <w:tcW w:type="dxa" w:w="3360"/>
          </w:tcPr>
          <w:p>
            <w:pPr>
              <w:jc w:val="left"/>
            </w:pPr>
            <w:r>
              <w:rPr>
                <w:sz w:val="18"/>
              </w:rPr>
            </w:r>
            <w:r>
              <w:rPr>
                <w:sz w:val="18"/>
              </w:rPr>
              <w:t>Brier score</w:t>
            </w:r>
          </w:p>
        </w:tc>
        <w:tc>
          <w:tcPr>
            <w:tcW w:type="dxa" w:w="3360"/>
          </w:tcPr>
          <w:p>
            <w:pPr>
              <w:jc w:val="center"/>
            </w:pPr>
            <w:r>
              <w:rPr>
                <w:sz w:val="18"/>
              </w:rPr>
            </w:r>
            <w:r>
              <w:rPr>
                <w:sz w:val="18"/>
              </w:rPr>
              <w:t>0.326</w:t>
            </w:r>
          </w:p>
        </w:tc>
        <w:tc>
          <w:tcPr>
            <w:tcW w:type="dxa" w:w="3360"/>
          </w:tcPr>
          <w:p>
            <w:pPr>
              <w:jc w:val="center"/>
            </w:pPr>
            <w:r>
              <w:rPr>
                <w:sz w:val="18"/>
              </w:rPr>
            </w:r>
            <w:r>
              <w:rPr>
                <w:sz w:val="18"/>
              </w:rPr>
              <w:t>0.248</w:t>
            </w:r>
          </w:p>
        </w:tc>
      </w:tr>
      <w:tr>
        <w:trPr>
          <w:cantSplit w:val="true"/>
        </w:trPr>
        <w:tc>
          <w:tcPr>
            <w:tcW w:type="dxa" w:w="3360"/>
          </w:tcPr>
          <w:p>
            <w:pPr>
              <w:jc w:val="left"/>
            </w:pPr>
            <w:r>
              <w:rPr>
                <w:sz w:val="18"/>
              </w:rPr>
            </w:r>
            <w:r>
              <w:rPr>
                <w:sz w:val="18"/>
              </w:rPr>
              <w:t>Sensitivity</w:t>
            </w:r>
          </w:p>
        </w:tc>
        <w:tc>
          <w:tcPr>
            <w:tcW w:type="dxa" w:w="3360"/>
          </w:tcPr>
          <w:p>
            <w:pPr>
              <w:jc w:val="center"/>
            </w:pPr>
            <w:r>
              <w:rPr>
                <w:sz w:val="18"/>
              </w:rPr>
            </w:r>
            <w:r>
              <w:rPr>
                <w:sz w:val="18"/>
              </w:rPr>
              <w:t>0.232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Specificity</w:t>
            </w:r>
          </w:p>
        </w:tc>
        <w:tc>
          <w:tcPr>
            <w:tcW w:type="dxa" w:w="3360"/>
          </w:tcPr>
          <w:p>
            <w:pPr>
              <w:jc w:val="center"/>
            </w:pPr>
            <w:r>
              <w:rPr>
                <w:sz w:val="18"/>
              </w:rPr>
            </w:r>
            <w:r>
              <w:rPr>
                <w:sz w:val="18"/>
              </w:rPr>
              <w:t>0.783</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Positive predictive value</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5" w:author="Siddalingaiah H S" w:date="2026-08-29T00:00:00Z">
        <w:r>
          <w:rPr>
            <w:b/>
          </w:rPr>
          <w:t>Table 3. Between-state associations with mean annual dengue incidence per 100 000, 2015–2024 (n = 32 states/UTs with observed covariates; Spearman ρ with bootstrap 95% CI).</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2520"/>
        <w:gridCol w:w="2520"/>
        <w:gridCol w:w="2520"/>
        <w:gridCol w:w="2520"/>
      </w:tblGrid>
      <w:tr>
        <w:trPr>
          <w:tblHeader w:val="true"/>
          <w:cantSplit w:val="true"/>
        </w:trPr>
        <w:tc>
          <w:tcPr>
            <w:tcW w:type="dxa" w:w="2520"/>
          </w:tcPr>
          <w:p>
            <w:pPr>
              <w:jc w:val="left"/>
            </w:pPr>
            <w:r/>
            <w:r>
              <w:rPr>
                <w:b/>
                <w:sz w:val="18"/>
              </w:rPr>
              <w:t>Structural indicator</w:t>
            </w:r>
          </w:p>
        </w:tc>
        <w:tc>
          <w:tcPr>
            <w:tcW w:type="dxa" w:w="2520"/>
          </w:tcPr>
          <w:p>
            <w:pPr>
              <w:jc w:val="center"/>
            </w:pPr>
            <w:r/>
            <w:r>
              <w:rPr>
                <w:b/>
                <w:sz w:val="18"/>
              </w:rPr>
              <w:t>ρ</w:t>
            </w:r>
          </w:p>
        </w:tc>
        <w:tc>
          <w:tcPr>
            <w:tcW w:type="dxa" w:w="2520"/>
          </w:tcPr>
          <w:p>
            <w:pPr>
              <w:jc w:val="center"/>
            </w:pPr>
            <w:r/>
            <w:r>
              <w:rPr>
                <w:b/>
                <w:sz w:val="18"/>
              </w:rPr>
              <w:t>95% CI</w:t>
            </w:r>
          </w:p>
        </w:tc>
        <w:tc>
          <w:tcPr>
            <w:tcW w:type="dxa" w:w="2520"/>
          </w:tcPr>
          <w:p>
            <w:pPr>
              <w:jc w:val="center"/>
            </w:pPr>
            <w:r/>
            <w:r>
              <w:rPr>
                <w:b/>
                <w:sz w:val="18"/>
              </w:rPr>
              <w:t>p</w:t>
            </w:r>
          </w:p>
        </w:tc>
      </w:tr>
      <w:tr>
        <w:trPr>
          <w:cantSplit w:val="true"/>
        </w:trPr>
        <w:tc>
          <w:tcPr>
            <w:tcW w:type="dxa" w:w="2520"/>
          </w:tcPr>
          <w:p>
            <w:pPr>
              <w:jc w:val="left"/>
            </w:pPr>
            <w:r>
              <w:rPr>
                <w:sz w:val="18"/>
              </w:rPr>
            </w:r>
            <w:r>
              <w:rPr>
                <w:sz w:val="18"/>
              </w:rPr>
              <w:t>Urban population share (2011)</w:t>
            </w:r>
          </w:p>
        </w:tc>
        <w:tc>
          <w:tcPr>
            <w:tcW w:type="dxa" w:w="2520"/>
          </w:tcPr>
          <w:p>
            <w:pPr>
              <w:jc w:val="center"/>
            </w:pPr>
            <w:r>
              <w:rPr>
                <w:sz w:val="18"/>
              </w:rPr>
            </w:r>
            <w:r>
              <w:rPr>
                <w:b/>
                <w:sz w:val="18"/>
              </w:rPr>
              <w:t>0.635</w:t>
            </w:r>
          </w:p>
        </w:tc>
        <w:tc>
          <w:tcPr>
            <w:tcW w:type="dxa" w:w="2520"/>
          </w:tcPr>
          <w:p>
            <w:pPr>
              <w:jc w:val="center"/>
            </w:pPr>
            <w:r>
              <w:rPr>
                <w:sz w:val="18"/>
              </w:rPr>
            </w:r>
            <w:r>
              <w:rPr>
                <w:sz w:val="18"/>
              </w:rPr>
              <w:t>0.33 to 0.82</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GDP per capita</w:t>
            </w:r>
          </w:p>
        </w:tc>
        <w:tc>
          <w:tcPr>
            <w:tcW w:type="dxa" w:w="2520"/>
          </w:tcPr>
          <w:p>
            <w:pPr>
              <w:jc w:val="center"/>
            </w:pPr>
            <w:r>
              <w:rPr>
                <w:sz w:val="18"/>
              </w:rPr>
            </w:r>
            <w:r>
              <w:rPr>
                <w:b/>
                <w:sz w:val="18"/>
              </w:rPr>
              <w:t>0.609</w:t>
            </w:r>
          </w:p>
        </w:tc>
        <w:tc>
          <w:tcPr>
            <w:tcW w:type="dxa" w:w="2520"/>
          </w:tcPr>
          <w:p>
            <w:pPr>
              <w:jc w:val="center"/>
            </w:pPr>
            <w:r>
              <w:rPr>
                <w:sz w:val="18"/>
              </w:rPr>
            </w:r>
            <w:r>
              <w:rPr>
                <w:sz w:val="18"/>
              </w:rPr>
              <w:t>0.32 to 0.80</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State Energy &amp; Climate Index</w:t>
            </w:r>
          </w:p>
        </w:tc>
        <w:tc>
          <w:tcPr>
            <w:tcW w:type="dxa" w:w="2520"/>
          </w:tcPr>
          <w:p>
            <w:pPr>
              <w:jc w:val="center"/>
            </w:pPr>
            <w:r>
              <w:rPr>
                <w:sz w:val="18"/>
              </w:rPr>
            </w:r>
            <w:r>
              <w:rPr>
                <w:sz w:val="18"/>
              </w:rPr>
              <w:t>0.349</w:t>
            </w:r>
          </w:p>
        </w:tc>
        <w:tc>
          <w:tcPr>
            <w:tcW w:type="dxa" w:w="2520"/>
          </w:tcPr>
          <w:p>
            <w:pPr>
              <w:jc w:val="center"/>
            </w:pPr>
            <w:r>
              <w:rPr>
                <w:sz w:val="18"/>
              </w:rPr>
            </w:r>
            <w:r>
              <w:rPr>
                <w:sz w:val="18"/>
              </w:rPr>
              <w:t>−0.03 to 0.68</w:t>
            </w:r>
          </w:p>
        </w:tc>
        <w:tc>
          <w:tcPr>
            <w:tcW w:type="dxa" w:w="2520"/>
          </w:tcPr>
          <w:p>
            <w:pPr>
              <w:jc w:val="center"/>
            </w:pPr>
            <w:r>
              <w:rPr>
                <w:sz w:val="18"/>
              </w:rPr>
            </w:r>
            <w:r>
              <w:rPr>
                <w:sz w:val="18"/>
              </w:rPr>
              <w:t>0.050</w:t>
            </w:r>
          </w:p>
        </w:tc>
      </w:tr>
      <w:tr>
        <w:trPr>
          <w:cantSplit w:val="true"/>
        </w:trPr>
        <w:tc>
          <w:tcPr>
            <w:tcW w:type="dxa" w:w="2520"/>
          </w:tcPr>
          <w:p>
            <w:pPr>
              <w:jc w:val="left"/>
            </w:pPr>
            <w:r>
              <w:rPr>
                <w:sz w:val="18"/>
              </w:rPr>
            </w:r>
            <w:r>
              <w:rPr>
                <w:sz w:val="18"/>
              </w:rPr>
              <w:t>NITI Aayog Health Index (2019-20)</w:t>
            </w:r>
          </w:p>
        </w:tc>
        <w:tc>
          <w:tcPr>
            <w:tcW w:type="dxa" w:w="2520"/>
          </w:tcPr>
          <w:p>
            <w:pPr>
              <w:jc w:val="center"/>
            </w:pPr>
            <w:r>
              <w:rPr>
                <w:sz w:val="18"/>
              </w:rPr>
            </w:r>
            <w:r>
              <w:rPr>
                <w:sz w:val="18"/>
              </w:rPr>
              <w:t>0.159</w:t>
            </w:r>
          </w:p>
        </w:tc>
        <w:tc>
          <w:tcPr>
            <w:tcW w:type="dxa" w:w="2520"/>
          </w:tcPr>
          <w:p>
            <w:pPr>
              <w:jc w:val="center"/>
            </w:pPr>
            <w:r>
              <w:rPr>
                <w:sz w:val="18"/>
              </w:rPr>
            </w:r>
            <w:r>
              <w:rPr>
                <w:sz w:val="18"/>
              </w:rPr>
              <w:t>−0.20 to 0.48</w:t>
            </w:r>
          </w:p>
        </w:tc>
        <w:tc>
          <w:tcPr>
            <w:tcW w:type="dxa" w:w="2520"/>
          </w:tcPr>
          <w:p>
            <w:pPr>
              <w:jc w:val="center"/>
            </w:pPr>
            <w:r>
              <w:rPr>
                <w:sz w:val="18"/>
              </w:rPr>
            </w:r>
            <w:r>
              <w:rPr>
                <w:sz w:val="18"/>
              </w:rPr>
              <w:t>0.383</w:t>
            </w:r>
          </w:p>
        </w:tc>
      </w:tr>
      <w:tr>
        <w:trPr>
          <w:cantSplit w:val="true"/>
        </w:trPr>
        <w:tc>
          <w:tcPr>
            <w:tcW w:type="dxa" w:w="2520"/>
          </w:tcPr>
          <w:p>
            <w:pPr>
              <w:jc w:val="left"/>
            </w:pPr>
            <w:r>
              <w:rPr>
                <w:sz w:val="18"/>
              </w:rPr>
            </w:r>
            <w:r>
              <w:rPr>
                <w:sz w:val="18"/>
              </w:rPr>
              <w:t>Population density (2011)</w:t>
            </w:r>
          </w:p>
        </w:tc>
        <w:tc>
          <w:tcPr>
            <w:tcW w:type="dxa" w:w="2520"/>
          </w:tcPr>
          <w:p>
            <w:pPr>
              <w:jc w:val="center"/>
            </w:pPr>
            <w:r>
              <w:rPr>
                <w:sz w:val="18"/>
              </w:rPr>
            </w:r>
            <w:r>
              <w:rPr>
                <w:sz w:val="18"/>
              </w:rPr>
              <w:t>−0.004</w:t>
            </w:r>
          </w:p>
        </w:tc>
        <w:tc>
          <w:tcPr>
            <w:tcW w:type="dxa" w:w="2520"/>
          </w:tcPr>
          <w:p>
            <w:pPr>
              <w:jc w:val="center"/>
            </w:pPr>
            <w:r>
              <w:rPr>
                <w:sz w:val="18"/>
              </w:rPr>
            </w:r>
            <w:r>
              <w:rPr>
                <w:sz w:val="18"/>
              </w:rPr>
              <w:t>−0.45 to 0.41</w:t>
            </w:r>
          </w:p>
        </w:tc>
        <w:tc>
          <w:tcPr>
            <w:tcW w:type="dxa" w:w="2520"/>
          </w:tcPr>
          <w:p>
            <w:pPr>
              <w:jc w:val="center"/>
            </w:pPr>
            <w:r>
              <w:rPr>
                <w:sz w:val="18"/>
              </w:rPr>
            </w:r>
            <w:r>
              <w:rPr>
                <w:sz w:val="18"/>
              </w:rPr>
              <w:t>0.983</w:t>
            </w:r>
          </w:p>
        </w:tc>
      </w:tr>
      <w:tr>
        <w:trPr>
          <w:cantSplit w:val="true"/>
        </w:trPr>
        <w:tc>
          <w:tcPr>
            <w:tcW w:type="dxa" w:w="2520"/>
          </w:tcPr>
          <w:p>
            <w:pPr>
              <w:jc w:val="left"/>
            </w:pPr>
            <w:r>
              <w:rPr>
                <w:sz w:val="18"/>
              </w:rPr>
            </w:r>
            <w:r>
              <w:rPr>
                <w:sz w:val="18"/>
              </w:rPr>
              <w:t>GDP per capita, adjusted for Health Index</w:t>
            </w:r>
          </w:p>
        </w:tc>
        <w:tc>
          <w:tcPr>
            <w:tcW w:type="dxa" w:w="2520"/>
          </w:tcPr>
          <w:p>
            <w:pPr>
              <w:jc w:val="center"/>
            </w:pPr>
            <w:r>
              <w:rPr>
                <w:sz w:val="18"/>
              </w:rPr>
            </w:r>
            <w:r>
              <w:rPr>
                <w:sz w:val="18"/>
              </w:rPr>
              <w:t>0.663</w:t>
            </w:r>
          </w:p>
        </w:tc>
        <w:tc>
          <w:tcPr>
            <w:tcW w:type="dxa" w:w="2520"/>
          </w:tcPr>
          <w:p>
            <w:pPr>
              <w:jc w:val="center"/>
            </w:pPr>
            <w:r>
              <w:rPr>
                <w:sz w:val="18"/>
              </w:rPr>
            </w:r>
            <w:r>
              <w:rPr>
                <w:sz w:val="18"/>
              </w:rPr>
              <w:t>—</w:t>
            </w:r>
          </w:p>
        </w:tc>
        <w:tc>
          <w:tcPr>
            <w:tcW w:type="dxa" w:w="2520"/>
          </w:tcPr>
          <w:p>
            <w:pPr>
              <w:jc w:val="center"/>
            </w:pPr>
            <w:r>
              <w:rPr>
                <w:sz w:val="18"/>
              </w:rPr>
            </w:r>
            <w:r>
              <w:rPr>
                <w:sz w:val="18"/>
              </w:rPr>
              <w:t>&lt; 0.001</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ins w:id="1076" w:author="Siddalingaiah H S" w:date="2026-08-29T00:00:00Z">
        <w:r>
          <w:rPr>
            <w:b/>
          </w:rPr>
          <w:t>Table 4. Leakage experiment: apparent performance under the primary design and under two common design defects, on identical data.</w:t>
        </w:r>
      </w:ins>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Specification</w:t>
            </w:r>
          </w:p>
        </w:tc>
        <w:tc>
          <w:tcPr>
            <w:tcW w:type="dxa" w:w="3360"/>
          </w:tcPr>
          <w:p>
            <w:pPr>
              <w:jc w:val="center"/>
            </w:pPr>
            <w:r/>
            <w:r>
              <w:rPr>
                <w:b/>
                <w:sz w:val="18"/>
              </w:rPr>
              <w:t>R² (log scale)</w:t>
            </w:r>
          </w:p>
        </w:tc>
        <w:tc>
          <w:tcPr>
            <w:tcW w:type="dxa" w:w="3360"/>
          </w:tcPr>
          <w:p>
            <w:pPr>
              <w:jc w:val="center"/>
            </w:pPr>
            <w:r/>
            <w:r>
              <w:rPr>
                <w:b/>
                <w:sz w:val="18"/>
              </w:rPr>
              <w:t>Inflation vs. leakage-free</w:t>
            </w:r>
          </w:p>
        </w:tc>
      </w:tr>
      <w:tr>
        <w:trPr>
          <w:cantSplit w:val="true"/>
        </w:trPr>
        <w:tc>
          <w:tcPr>
            <w:tcW w:type="dxa" w:w="3360"/>
          </w:tcPr>
          <w:p>
            <w:pPr>
              <w:jc w:val="left"/>
            </w:pPr>
            <w:r>
              <w:rPr>
                <w:sz w:val="18"/>
              </w:rPr>
            </w:r>
            <w:r>
              <w:rPr>
                <w:sz w:val="18"/>
              </w:rPr>
              <w:t>Leakage-free year-ahead (primary)</w:t>
            </w:r>
          </w:p>
        </w:tc>
        <w:tc>
          <w:tcPr>
            <w:tcW w:type="dxa" w:w="3360"/>
          </w:tcPr>
          <w:p>
            <w:pPr>
              <w:jc w:val="center"/>
            </w:pPr>
            <w:r>
              <w:rPr>
                <w:sz w:val="18"/>
              </w:rPr>
            </w:r>
            <w:r>
              <w:rPr>
                <w:sz w:val="18"/>
              </w:rPr>
              <w:t>0.551</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Non-temporal random-split cross-validation</w:t>
            </w:r>
          </w:p>
        </w:tc>
        <w:tc>
          <w:tcPr>
            <w:tcW w:type="dxa" w:w="3360"/>
          </w:tcPr>
          <w:p>
            <w:pPr>
              <w:jc w:val="center"/>
            </w:pPr>
            <w:r>
              <w:rPr>
                <w:sz w:val="18"/>
              </w:rPr>
            </w:r>
            <w:r>
              <w:rPr>
                <w:sz w:val="18"/>
              </w:rPr>
              <w:t>0.626</w:t>
            </w:r>
          </w:p>
        </w:tc>
        <w:tc>
          <w:tcPr>
            <w:tcW w:type="dxa" w:w="3360"/>
          </w:tcPr>
          <w:p>
            <w:pPr>
              <w:jc w:val="center"/>
            </w:pPr>
            <w:r>
              <w:rPr>
                <w:sz w:val="18"/>
              </w:rPr>
            </w:r>
            <w:r>
              <w:rPr>
                <w:sz w:val="18"/>
              </w:rPr>
              <w:t>+0.075</w:t>
            </w:r>
          </w:p>
        </w:tc>
      </w:tr>
      <w:tr>
        <w:trPr>
          <w:cantSplit w:val="true"/>
        </w:trPr>
        <w:tc>
          <w:tcPr>
            <w:tcW w:type="dxa" w:w="3360"/>
          </w:tcPr>
          <w:p>
            <w:pPr>
              <w:jc w:val="left"/>
            </w:pPr>
            <w:r>
              <w:rPr>
                <w:sz w:val="18"/>
              </w:rPr>
            </w:r>
            <w:r>
              <w:rPr>
                <w:sz w:val="18"/>
              </w:rPr>
              <w:t>Unshifted 3-year rolling mean (target leakage)</w:t>
            </w:r>
          </w:p>
        </w:tc>
        <w:tc>
          <w:tcPr>
            <w:tcW w:type="dxa" w:w="3360"/>
          </w:tcPr>
          <w:p>
            <w:pPr>
              <w:jc w:val="center"/>
            </w:pPr>
            <w:r>
              <w:rPr>
                <w:sz w:val="18"/>
              </w:rPr>
            </w:r>
            <w:r>
              <w:rPr>
                <w:sz w:val="18"/>
              </w:rPr>
              <w:t>0.759</w:t>
            </w:r>
          </w:p>
        </w:tc>
        <w:tc>
          <w:tcPr>
            <w:tcW w:type="dxa" w:w="3360"/>
          </w:tcPr>
          <w:p>
            <w:pPr>
              <w:jc w:val="center"/>
            </w:pPr>
            <w:r>
              <w:rPr>
                <w:sz w:val="18"/>
              </w:rPr>
            </w:r>
            <w:r>
              <w:rPr>
                <w:sz w:val="18"/>
              </w:rPr>
              <w:t>+0.209</w:t>
            </w:r>
          </w:p>
        </w:tc>
      </w:tr>
      <w:tr>
        <w:trPr>
          <w:cantSplit w:val="true"/>
        </w:trPr>
        <w:tc>
          <w:tcPr>
            <w:tcW w:type="dxa" w:w="3360"/>
          </w:tcPr>
          <w:p>
            <w:pPr>
              <w:jc w:val="left"/>
            </w:pPr>
            <w:r>
              <w:rPr>
                <w:sz w:val="18"/>
              </w:rPr>
            </w:r>
            <w:r>
              <w:rPr>
                <w:b/>
                <w:sz w:val="18"/>
              </w:rPr>
              <w:t>Outbreak AUC</w:t>
            </w:r>
            <w:r>
              <w:rPr>
                <w:sz w:val="18"/>
              </w:rPr>
              <w:t>, expanding-window threshold</w:t>
            </w:r>
          </w:p>
        </w:tc>
        <w:tc>
          <w:tcPr>
            <w:tcW w:type="dxa" w:w="3360"/>
          </w:tcPr>
          <w:p>
            <w:pPr>
              <w:jc w:val="center"/>
            </w:pPr>
            <w:r>
              <w:rPr>
                <w:sz w:val="18"/>
              </w:rPr>
            </w:r>
            <w:r>
              <w:rPr>
                <w:sz w:val="18"/>
              </w:rPr>
              <w:t>0.522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b/>
                <w:sz w:val="18"/>
              </w:rPr>
              <w:t>Outbreak AUC</w:t>
            </w:r>
            <w:r>
              <w:rPr>
                <w:sz w:val="18"/>
              </w:rPr>
              <w:t>, full-panel threshold (look-ahead)</w:t>
            </w:r>
          </w:p>
        </w:tc>
        <w:tc>
          <w:tcPr>
            <w:tcW w:type="dxa" w:w="3360"/>
          </w:tcPr>
          <w:p>
            <w:pPr>
              <w:jc w:val="center"/>
            </w:pPr>
            <w:r>
              <w:rPr>
                <w:sz w:val="18"/>
              </w:rPr>
            </w:r>
            <w:r>
              <w:rPr>
                <w:sz w:val="18"/>
              </w:rPr>
              <w:t>0.544</w:t>
            </w:r>
          </w:p>
        </w:tc>
        <w:tc>
          <w:tcPr>
            <w:tcW w:type="dxa" w:w="3360"/>
          </w:tcPr>
          <w:p>
            <w:pPr>
              <w:jc w:val="center"/>
            </w:pPr>
            <w:r>
              <w:rPr>
                <w:sz w:val="18"/>
              </w:rPr>
            </w:r>
            <w:r>
              <w:rPr>
                <w:sz w:val="18"/>
              </w:rPr>
              <w:t>+0.022</w:t>
            </w:r>
          </w:p>
        </w:tc>
      </w:tr>
    </w:tbl>
    <w:p>
      <w:pPr>
        <w:spacing w:after="40"/>
      </w:pPr>
    </w:p>
    <w:p>
      <w:pPr>
        <w:sectPr>
          <w:type w:val="continuous"/>
          <w:pgSz w:w="12240" w:h="15840"/>
          <w:pgMar w:top="1152" w:right="1080" w:bottom="1152" w:left="1080" w:header="720" w:footer="720" w:gutter="0"/>
          <w:cols w:space="432" w:num="1"/>
          <w:docGrid w:linePitch="360"/>
        </w:sectPr>
      </w:pPr>
    </w:p>
    <w:p>
      <w:pPr>
        <w:sectPr>
          <w:type w:val="continuous"/>
          <w:pgSz w:w="12240" w:h="15840"/>
          <w:pgMar w:top="1152" w:right="1080" w:bottom="1152" w:left="1080" w:header="720" w:footer="720" w:gutter="0"/>
          <w:cols w:space="432" w:num="2"/>
          <w:docGrid w:linePitch="360"/>
        </w:sectPr>
      </w:pPr>
    </w:p>
    <w:p>
      <w:pPr>
        <w:pStyle w:val="Heading1"/>
      </w:pPr>
      <w:r>
        <w:t>7. Figure Legends</w:t>
      </w:r>
    </w:p>
    <w:p>
      <w:pPr>
        <w:keepNext/>
        <w:spacing w:before="200" w:after="40"/>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ins w:id="1077" w:author="Siddalingaiah H S" w:date="2026-08-29T00:00:00Z">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ins>
    </w:p>
    <w:p>
      <w:pPr>
        <w:keepNext/>
        <w:spacing w:before="200" w:after="40"/>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ins w:id="1078" w:author="Siddalingaiah H S" w:date="2026-08-29T00:00:00Z">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ins>
    </w:p>
    <w:p>
      <w:pPr>
        <w:keepNext/>
        <w:spacing w:before="200" w:after="40"/>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ins w:id="1079" w:author="Siddalingaiah H S" w:date="2026-08-29T00:00:00Z">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ins>
    </w:p>
    <w:p>
      <w:pPr>
        <w:keepNext/>
        <w:spacing w:before="200" w:after="40"/>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ins w:id="1080" w:author="Siddalingaiah H S" w:date="2026-08-29T00:00:00Z">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ins>
    </w:p>
    <w:p>
      <w:pPr>
        <w:keepNext/>
        <w:spacing w:before="200" w:after="40"/>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ins w:id="1081" w:author="Siddalingaiah H S" w:date="2026-08-29T00:00:00Z">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ins>
    </w:p>
    <w:p>
      <w:pPr>
        <w:keepNext/>
        <w:spacing w:before="200" w:after="40"/>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ins w:id="1082" w:author="Siddalingaiah H S" w:date="2026-08-29T00:00:00Z">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ins>
    </w:p>
    <w:p>
      <w:pPr>
        <w:keepNext/>
        <w:spacing w:before="200" w:after="40"/>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ins w:id="1083" w:author="Siddalingaiah H S" w:date="2026-08-29T00:00:00Z">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ins>
    </w:p>
    <w:p>
      <w:pPr>
        <w:sectPr>
          <w:type w:val="continuous"/>
          <w:pgSz w:w="12240" w:h="15840"/>
          <w:pgMar w:top="1152" w:right="1080" w:bottom="1152" w:left="1080" w:header="720" w:footer="720" w:gutter="0"/>
          <w:cols w:space="432" w:num="1"/>
          <w:docGrid w:linePitch="360"/>
        </w:sectPr>
      </w:pPr>
    </w:p>
    <w:p>
      <w:pPr>
        <w:pStyle w:val="Heading1"/>
      </w:pPr>
      <w:r>
        <w:t>8. References</w:t>
      </w:r>
    </w:p>
    <w:p>
      <w:ins w:id="1084" w:author="Siddalingaiah H S" w:date="2026-08-29T00:00:00Z">
        <w:r>
          <w:t xml:space="preserve">1. World Health Organization. </w:t>
        </w:r>
        <w:r>
          <w:rPr>
            <w:i/>
          </w:rPr>
          <w:t>Dengue</w:t>
        </w:r>
        <w:r>
          <w:t xml:space="preserve"> [Internet]. Geneva: World Health Organization; 2025 Aug 21 [cited 2026 Aug 20]. Available from: https://www.who.int/news-room/fact-sheets/detail/dengue-and-severe-dengue</w:t>
        </w:r>
      </w:ins>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ins w:id="1085" w:author="Siddalingaiah H S" w:date="2026-08-29T00:00:00Z">
        <w:r>
          <w:t xml:space="preserve">4. National Centre for Vector Borne Diseases Control. </w:t>
        </w:r>
        <w:r>
          <w:rPr>
            <w:i/>
          </w:rPr>
          <w:t>Dengue Situation in India: Dengue Cases and Deaths in the Country</w:t>
        </w:r>
        <w:r>
          <w:t xml:space="preserve"> [Internet]. New Delhi: Directorate General of Health Services, Ministry of Health and Family Welfare, Government of India; [cited 2026 Aug 20]. Available from: https://ncvbdc.mohfw.gov.in/index4.php?lang=1&amp;level=0&amp;lid=3715&amp;linkid=431</w:t>
        </w:r>
      </w:ins>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del w:id="1086" w:author="Siddalingaiah H S" w:date="2026-08-29T00:00:00Z">
        <w:r>
          <w:delText xml:space="preserve">14. </w:delText>
        </w:r>
      </w:del>
      <w:ins w:id="1087" w:author="Siddalingaiah H S" w:date="2026-08-29T00:00:00Z">
        <w:r>
          <w:t xml:space="preserve">6. </w:t>
        </w:r>
      </w:ins>
      <w:r>
        <w:t xml:space="preserve">Salim NAM, Wah YB, Reeves C, Smith M, Yaacob WFW, Mudin RN, et al. Prediction of dengue outbreak in Selangor Malaysia using machine learning techniques. Sci Rep. 2021;11(1):939. doi:10.1038/s41598-020-79193-2. </w:t>
      </w:r>
    </w:p>
    <w:p>
      <w:del w:id="1088" w:author="Siddalingaiah H S" w:date="2026-08-29T00:00:00Z">
        <w:r>
          <w:delText xml:space="preserve">10. </w:delText>
        </w:r>
      </w:del>
      <w:ins w:id="1089" w:author="Siddalingaiah H S" w:date="2026-08-29T00:00:00Z">
        <w:r>
          <w:t xml:space="preserve">7. </w:t>
        </w:r>
      </w:ins>
      <w:r>
        <w:t xml:space="preserve">Clarke J, Lim A, Gupte P, et al. A global dataset of publicly available dengue case count data. Sci Data. 2024;11:296. doi:10.1038/s41597-024-03120-7. </w:t>
      </w:r>
      <w:ins w:id="1090" w:author="Siddalingaiah H S" w:date="2026-08-29T00:00:00Z">
        <w:r>
          <w:t xml:space="preserve">Data extract used: OpenDengue Spatial extract V1.3 [dataset]. </w:t>
        </w:r>
      </w:ins>
      <w:r>
        <w:t xml:space="preserve">Available from: https://opendengue.org </w:t>
      </w:r>
      <w:del w:id="1091" w:author="Siddalingaiah H S" w:date="2026-08-29T00:00:00Z">
        <w:r>
          <w:delText xml:space="preserve">(accessed 5 Jan 2025). </w:delText>
        </w:r>
      </w:del>
      <w:ins w:id="1092" w:author="Siddalingaiah H S" w:date="2026-08-29T00:00:00Z">
        <w:r>
          <w:t xml:space="preserve">[cited 2026 Aug 20]. </w:t>
        </w:r>
      </w:ins>
    </w:p>
    <w:p>
      <w:ins w:id="1093" w:author="Siddalingaiah H S" w:date="2026-08-29T00:00:00Z">
        <w:r>
          <w:t xml:space="preserve">8. Kapoor S, Narayanan A. Leakage and the reproducibility crisis in machine-learning-based science. </w:t>
        </w:r>
        <w:r>
          <w:rPr>
            <w:i/>
          </w:rPr>
          <w:t>Patterns</w:t>
        </w:r>
        <w:r>
          <w:t>. 2023;4(9):100804. doi:10.1016/j.patter.2023.100804.</w:t>
        </w:r>
      </w:ins>
    </w:p>
    <w:p>
      <w:del w:id="1094" w:author="Siddalingaiah H S" w:date="2026-08-29T00:00:00Z">
        <w:r>
          <w:delText xml:space="preserve">7. </w:delText>
        </w:r>
      </w:del>
      <w:ins w:id="1095" w:author="Siddalingaiah H S" w:date="2026-08-29T00:00:00Z">
        <w:r>
          <w:t xml:space="preserve">9. </w:t>
        </w:r>
      </w:ins>
      <w:r>
        <w:t xml:space="preserve">NITI Aayog. Healthy States, Progressive India: Report on the Ranks of States and Union </w:t>
      </w:r>
      <w:del w:id="1096" w:author="Siddalingaiah H S" w:date="2026-08-29T00:00:00Z">
        <w:r>
          <w:delText xml:space="preserve">Territories (Fourth Edition, 2019-20). </w:delText>
        </w:r>
      </w:del>
      <w:ins w:id="1097" w:author="Siddalingaiah H S" w:date="2026-08-29T00:00:00Z">
        <w:r>
          <w:t xml:space="preserve">Territories—Health Index Round IV 2019–20. </w:t>
        </w:r>
      </w:ins>
      <w:r>
        <w:t xml:space="preserve">New Delhi: NITI Aayog, Government of India; 2021. </w:t>
      </w:r>
    </w:p>
    <w:p>
      <w:ins w:id="1098" w:author="Siddalingaiah H S" w:date="2026-08-29T00:00:00Z">
        <w:r>
          <w:t xml:space="preserve">10. Collins GS, Moons KGM, Dhiman P, Riley RD, Beam AL, Van Calster B, et al. TRIPOD+AI statement: updated guidance for reporting clinical prediction models that use regression or machine learning methods. </w:t>
        </w:r>
        <w:r>
          <w:rPr>
            <w:i/>
          </w:rPr>
          <w:t>BMJ</w:t>
        </w:r>
        <w:r>
          <w:t xml:space="preserve">. 2024;385:e078378. doi:10.1136/bmj-2023-078378. Erratum in: </w:t>
        </w:r>
        <w:r>
          <w:rPr>
            <w:i/>
          </w:rPr>
          <w:t>BMJ</w:t>
        </w:r>
        <w:r>
          <w:t>. 2024;385:q902. doi:10.1136/bmj.q902.</w:t>
        </w:r>
      </w:ins>
    </w:p>
    <w:p>
      <w:del w:id="1099" w:author="Siddalingaiah H S" w:date="2026-08-29T00:00:00Z">
        <w:r>
          <w:delText xml:space="preserve">6. </w:delText>
        </w:r>
      </w:del>
      <w:ins w:id="1100" w:author="Siddalingaiah H S" w:date="2026-08-29T00:00:00Z">
        <w:r>
          <w:t xml:space="preserve">11. </w:t>
        </w:r>
      </w:ins>
      <w:r>
        <w:t xml:space="preserve">Tjaden NB, Thomas SM, Fischer D, Beierkuhnlein C. Extrinsic incubation period of dengue: knowledge, backlog, and applications of temperature dependence. PLoS Negl Trop Dis. 2013;7(6):e2207. doi:10.1371/journal.pntd.0002207. </w:t>
      </w:r>
    </w:p>
    <w:p>
      <w:del w:id="1101" w:author="Siddalingaiah H S" w:date="2026-08-29T00:00:00Z">
        <w:r>
          <w:delText xml:space="preserve">9. </w:delText>
        </w:r>
      </w:del>
      <w:ins w:id="1102" w:author="Siddalingaiah H S" w:date="2026-08-29T00:00:00Z">
        <w:r>
          <w:t xml:space="preserve">12. </w:t>
        </w:r>
      </w:ins>
      <w:r>
        <w:t xml:space="preserve">Friedman JH. Greedy function approximation: a gradient boosting machine. Ann Stat. 2001;29(5):1189-1232. doi:10.1214/aos/1013203451. </w:t>
      </w:r>
    </w:p>
    <w:p>
      <w:ins w:id="1103" w:author="Siddalingaiah H S" w:date="2026-08-29T00:00:00Z">
        <w:r>
          <w:t xml:space="preserve">13. Hicks SA, Strümke I, Thambawita V, Hammou M, Riegler MA, Halvorsen P, et al. On evaluation metrics for medical applications of artificial intelligence. </w:t>
        </w:r>
        <w:r>
          <w:rPr>
            <w:i/>
          </w:rPr>
          <w:t>Sci Rep</w:t>
        </w:r>
        <w:r>
          <w:t>. 2022;12:5979. doi:10.1038/s41598-022-09954-8.</w:t>
        </w:r>
      </w:ins>
    </w:p>
    <w:p>
      <w:ins w:id="1104" w:author="Siddalingaiah H S" w:date="2026-08-29T00:00:00Z">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ins>
    </w:p>
    <w:p>
      <w:del w:id="1105" w:author="Siddalingaiah H S" w:date="2026-08-29T00:00:00Z">
        <w:r>
          <w:delText xml:space="preserve">12. </w:delText>
        </w:r>
      </w:del>
      <w:ins w:id="1106" w:author="Siddalingaiah H S" w:date="2026-08-29T00:00:00Z">
        <w:r>
          <w:t xml:space="preserve">15. </w:t>
        </w:r>
      </w:ins>
      <w:r>
        <w:t xml:space="preserve">Mutheneni SR, Morse AP, Caminade C, Upadhyayula SM. Dengue burden in India: recent trends and importance of climatic parameters. Emerg Microbes Infect. 2017;6(8):e70. doi:10.1038/emi.2017.57. </w:t>
      </w:r>
    </w:p>
    <w:p>
      <w:del w:id="1107" w:author="Siddalingaiah H S" w:date="2026-08-29T00:00:00Z">
        <w:r>
          <w:delText xml:space="preserve">8. </w:delText>
        </w:r>
      </w:del>
      <w:ins w:id="1108" w:author="Siddalingaiah H S" w:date="2026-08-29T00:00:00Z">
        <w:r>
          <w:t xml:space="preserve">16. </w:t>
        </w:r>
      </w:ins>
      <w:r>
        <w:t xml:space="preserve">Messina JP, Brady OJ, Golding N, Kraemer MUG, Wint GRW, Ray SE, et al. The current and future global distribution and population at risk of dengue. Nat Microbiol. 2019;4(9):1508-1515. doi:10.1038/s41564-019-0476-8. </w:t>
      </w:r>
    </w:p>
    <w:p>
      <w:pPr>
        <w:sectPr>
          <w:type w:val="continuous"/>
          <w:pgSz w:w="12240" w:h="15840"/>
          <w:pgMar w:top="1152" w:right="1080" w:bottom="1152" w:left="1080" w:header="720" w:footer="720" w:gutter="0"/>
          <w:cols w:space="432" w:num="2"/>
          <w:docGrid w:linePitch="360"/>
        </w:sectPr>
      </w:pPr>
    </w:p>
    <w:p>
      <w:pPr>
        <w:pStyle w:val="Heading1"/>
      </w:pPr>
      <w:r>
        <w:t>Text removed from the originally submitted manuscript</w:t>
      </w:r>
    </w:p>
    <w:p>
      <w:del w:id="1109" w:author="Siddalingaiah H S" w:date="2026-08-29T00:00:00Z">
        <w:r>
          <w:rPr>
            <w:b/>
          </w:rPr>
          <w:delText xml:space="preserve">Background:</w:delText>
        </w:r>
        <w:r>
          <w:delText xml:space="preserve"> Dengue has become a hyper-endemic public-health crisis in India, yet routine surveillance remains largely reactive: outbreaks are recognised only after transmission peaks, leaving a narrow window for vector control. Predictive early-warning tools that exploit routinely available epidemiological, climatic and structural data could shift the response from reaction to anticipation.</w:delText>
        </w:r>
      </w:del>
    </w:p>
    <w:p>
      <w:del w:id="1110" w:author="Siddalingaiah H S" w:date="2026-08-29T00:00:00Z">
        <w:r>
          <w:rPr>
            <w:b/>
          </w:rPr>
          <w:delText xml:space="preserve">Objectives:</w:delText>
        </w:r>
        <w:r>
          <w:delText xml:space="preserve"> To develop and rigorously validate a multi-modal machine-learning framework for state-level dengue prediction in India that (i) forecasts monthly case intensity, (ii) flags outbreak months, and (iii) transparently decomposes the relative contribution of seasonal, autoregressive, climatic and socio-economic vulnerability drivers. A secondary objective was to distil the model into a paper-based "Field Risk Scorecard" usable by district health officers.</w:delText>
        </w:r>
      </w:del>
    </w:p>
    <w:p>
      <w:del w:id="1111" w:author="Siddalingaiah H S" w:date="2026-08-29T00:00:00Z">
        <w:r>
          <w:rPr>
            <w:b/>
          </w:rPr>
          <w:delText xml:space="preserve">Methods:</w:delText>
        </w:r>
        <w:r>
          <w:delText xml:space="preserve"> We assembled a longitudinal panel of 1,740 state-months spanning 15 major dengue-endemic Indian states over 2015–2024 (116 months per state). Monthly National Vector Borne Disease Control Programme (NVBDCP) and OpenDengue case data were integrated with India Meteorological Department climate fields and a novel block of structural vulnerability indicators—the NITI Aayog Health Index (2019-20), state GDP per capita, the State Energy &amp; Climate Index, urbanisation and population density. We engineered 25 features across four interpretable blocks (autoregressive, seasonal, climatic, vulnerability) and modelled the log-transformed case count with a Gradient Boosting Regressor; a Gradient Boosting Classifier detected outbreak months (state-specific &gt;75th percentile). All performance was estimated by leakage-controlled 5-fold blocked TimeSeriesSplit cross-validation. We quantified driver structure using grouped Gini importance, a nested feature-block ablation, and a between-state Spearman analysis of cumulative burden against vulnerability.</w:delText>
        </w:r>
      </w:del>
    </w:p>
    <w:p>
      <w:del w:id="1112" w:author="Siddalingaiah H S" w:date="2026-08-29T00:00:00Z">
        <w:r>
          <w:rPr>
            <w:b/>
          </w:rPr>
          <w:delText xml:space="preserve">Results:</w:delText>
        </w:r>
        <w:r>
          <w:delText xml:space="preserve"> The regressor explained the majority of variance in monthly incidence (cross-validated R² = 0.892 ± 0.028; RMSE = 232 cases; MAE = 132). The classifier discriminated outbreak months well under temporal validation (out-of-fold AUC = 0.936; sensitivity = 0.91). Driver decomposition was dominated by seasonality (74.0%) and autoregressive momentum (20.8%), with climate (1.2%) and vulnerability (4.0%) contributing modestly to month-ahead dynamics. Crucially, the ablation showed structural covariates add little to </w:delText>
        </w:r>
        <w:r>
          <w:rPr>
            <w:i/>
          </w:rPr>
          <w:delText xml:space="preserve">short-term</w:delText>
        </w:r>
        <w:r>
          <w:delText xml:space="preserve"> forecasting, yet </w:delText>
        </w:r>
        <w:r>
          <w:rPr>
            <w:i/>
          </w:rPr>
          <w:delText xml:space="preserve">between-state</w:delText>
        </w:r>
        <w:r>
          <w:delText xml:space="preserve"> cumulative burden tracked GDP per capita (Spearman ρ = 0.51, p = 0.05), locating vulnerability’s true role in cross-state stratification rather than temporal prediction. The simplified Field Scorecard reproduced model risk ordering closely (ρ = 0.76, p &lt; 0.001).</w:delText>
        </w:r>
      </w:del>
    </w:p>
    <w:p>
      <w:del w:id="1113" w:author="Siddalingaiah H S" w:date="2026-08-29T00:00:00Z">
        <w:r>
          <w:rPr>
            <w:b/>
          </w:rPr>
          <w:delText xml:space="preserve">Conclusions:</w:delText>
        </w:r>
        <w:r>
          <w:delText xml:space="preserve"> A transparent, leakage-controlled multi-modal framework predicts dengue intensity and outbreak timing with strong accuracy, while an explicit ablation honestly disentangles which signals matter and where. Seasonality and case momentum drive short-term risk; structural vulnerability differentiates the chronic burden borne by states with weaker systems. The accompanying risk map and validated field tool provide a deployable pathway toward anticipatory dengue control.</w:delText>
        </w:r>
      </w:del>
    </w:p>
    <w:p>
      <w:del w:id="1114" w:author="Siddalingaiah H S" w:date="2026-08-29T00:00:00Z">
        <w:r>
          <w:delText xml:space="preserve">Control in India rests on the NVBDCP </w:delText>
        </w:r>
        <w:r>
          <w:rPr>
            <w:vertAlign w:val="superscript"/>
          </w:rPr>
          <w:delText xml:space="preserve">4</w:delText>
        </w:r>
        <w:r>
          <w:delText xml:space="preserve"> and the Integrated Disease Surveillance Programme. These systems are robust for retrospective case reporting but function as </w:delText>
        </w:r>
        <w:r>
          <w:rPr>
            <w:i/>
          </w:rPr>
          <w:delText xml:space="preserve">detection</w:delText>
        </w:r>
        <w:r>
          <w:delText xml:space="preserve"> rather than </w:delText>
        </w:r>
        <w:r>
          <w:rPr>
            <w:i/>
          </w:rPr>
          <w:delText xml:space="preserve">prediction</w:delText>
        </w:r>
        <w:r>
          <w:delText xml:space="preserve"> tools. Because the extrinsic incubation period in the mosquito (8–12 days) and intrinsic incubation in humans (4–10 days) together mean a clinical index case reflects transmission active for at least two weeks, interventions such as fogging are routinely deployed after the epidemic curve has crested </w:delText>
        </w:r>
        <w:r>
          <w:rPr>
            <w:vertAlign w:val="superscript"/>
          </w:rPr>
          <w:delText xml:space="preserve">5</w:delText>
        </w:r>
        <w:r>
          <w:delText xml:space="preserve">. A model offering even four weeks of lead time could enable pre-emptive larval-source management.</w:delText>
        </w:r>
      </w:del>
    </w:p>
    <w:p>
      <w:del w:id="1115" w:author="Siddalingaiah H S" w:date="2026-08-29T00:00:00Z">
        <w:r>
          <w:delText xml:space="preserve">The range of </w:delText>
        </w:r>
        <w:r>
          <w:rPr>
            <w:i/>
          </w:rPr>
          <w:delText xml:space="preserve">Aedes aegypti</w:delText>
        </w:r>
        <w:r>
          <w:delText xml:space="preserve"> and </w:delText>
        </w:r>
        <w:r>
          <w:rPr>
            <w:i/>
          </w:rPr>
          <w:delText xml:space="preserve">Aedes albopictus</w:delText>
        </w:r>
        <w:r>
          <w:delText xml:space="preserve"> is tightly coupled to climate: temperature compresses the extrinsic incubation period (≈12 days at 25 °C to ≈7 days at 30 °C) while rainfall creates breeding habitat </w:delText>
        </w:r>
        <w:r>
          <w:rPr>
            <w:vertAlign w:val="superscript"/>
          </w:rPr>
          <w:delText xml:space="preserve">6</w:delText>
        </w:r>
        <w:r>
          <w:delText xml:space="preserve">. Yet purely climatic models neglect the human and systemic dimension. Dengue is an urban disease, amplified by water-storage practices and sanitation failures, and </w:delText>
        </w:r>
        <w:r>
          <w:rPr>
            <w:i/>
          </w:rPr>
          <w:delText xml:space="preserve">detected</w:delText>
        </w:r>
        <w:r>
          <w:delText xml:space="preserve"> burden is filtered through the strength of each state’s health system. We therefore hypothesised that a </w:delText>
        </w:r>
        <w:r>
          <w:rPr>
            <w:b/>
          </w:rPr>
          <w:delText xml:space="preserve">multi-modal</w:delText>
        </w:r>
        <w:r>
          <w:delText xml:space="preserve"> representation—combining epidemiological momentum, season, climate and </w:delText>
        </w:r>
        <w:r>
          <w:rPr>
            <w:b/>
          </w:rPr>
          <w:delText xml:space="preserve">structural vulnerability</w:delText>
        </w:r>
        <w:r>
          <w:delText xml:space="preserve">—would both improve prediction and clarify the hierarchy of drivers. We operationalise system vulnerability through the NITI Aayog Health Index </w:delText>
        </w:r>
        <w:r>
          <w:rPr>
            <w:vertAlign w:val="superscript"/>
          </w:rPr>
          <w:delText xml:space="preserve">7</w:delText>
        </w:r>
        <w:r>
          <w:delText xml:space="preserve"> and allied indicators, allowing the "vulnerability–exposure" nexus to be tested explicitly rather than assumed.</w:delText>
        </w:r>
      </w:del>
    </w:p>
    <w:p>
      <w:del w:id="1116" w:author="Siddalingaiah H S" w:date="2026-08-29T00:00:00Z">
        <w:r>
          <w:delText xml:space="preserve">For decision-makers, the </w:delText>
        </w:r>
        <w:r>
          <w:rPr>
            <w:i/>
          </w:rPr>
          <w:delText xml:space="preserve">category</w:delText>
        </w:r>
        <w:r>
          <w:delText xml:space="preserve"> of risk ("will we face an outbreak?") is often more actionable than an exact count. We therefore adopt a dual framing: regression for resource planning and binary classification for triggering emergency protocols </w:delText>
        </w:r>
        <w:r>
          <w:rPr>
            <w:vertAlign w:val="superscript"/>
          </w:rPr>
          <w:delText xml:space="preserve">8</w:delText>
        </w:r>
        <w:r>
          <w:delText xml:space="preserve">. We use Gradient Boosting Machines (GBMs) for their ability to capture non-linear interactions and tolerate the missingness common in surveillance data </w:delText>
        </w:r>
        <w:r>
          <w:rPr>
            <w:vertAlign w:val="superscript"/>
          </w:rPr>
          <w:delText xml:space="preserve">9</w:delText>
        </w:r>
        <w:r>
          <w:delText xml:space="preserve">, and we pair them with an explicit ablation and importance analysis so that the framework remains interpretable to public-health users rather than a black box.</w:delText>
        </w:r>
      </w:del>
    </w:p>
    <w:p>
      <w:del w:id="1117" w:author="Siddalingaiah H S" w:date="2026-08-29T00:00:00Z">
        <w:r>
          <w:delText xml:space="preserve">This is a retrospective, longitudinal ecological modelling study at the state–month level. The analytical unit is the "state-month." We follow the spirit of the TRIPOD guidance for prediction-model reporting: we specify data sources, the full predictor set, model configuration, validation procedure and performance with uncertainty, and we release code and data for reproducibility (Section 2.9). Because all data are aggregate, anonymised and publicly available, the study did not require individual ethics approval (Section 2.10).</w:delText>
        </w:r>
      </w:del>
    </w:p>
    <w:p>
      <w:del w:id="1118" w:author="Siddalingaiah H S" w:date="2026-08-29T00:00:00Z">
        <w:r>
          <w:delText xml:space="preserve">The panel comprises </w:delText>
        </w:r>
        <w:r>
          <w:rPr>
            <w:b/>
          </w:rPr>
          <w:delText xml:space="preserve">15 major dengue-endemic states</w:delText>
        </w:r>
        <w:r>
          <w:delText xml:space="preserve">—Andhra Pradesh, Bihar, Delhi, Gujarat, Haryana, Karnataka, Kerala, Maharashtra, Odisha, Punjab, Rajasthan, Tamil Nadu, Telangana, Uttar Pradesh and West Bengal—observed monthly from May 2015 to December 2024 (116 months each; </w:delText>
        </w:r>
        <w:r>
          <w:rPr>
            <w:b/>
          </w:rPr>
          <w:delText xml:space="preserve">1,740 state-months</w:delText>
        </w:r>
        <w:r>
          <w:delText xml:space="preserve">). These states were selected because they have continuous, good-quality monthly reporting and together account for the large majority of India’s reported dengue caseload (cumulative 1.27 million reported cases in the panel). States with only sparse or annual data were deliberately excluded rather than imputed at monthly resolution, to avoid fabricating temporal structure.</w:delText>
        </w:r>
      </w:del>
    </w:p>
    <w:p>
      <w:del w:id="1119" w:author="Siddalingaiah H S" w:date="2026-08-29T00:00:00Z">
        <w:r>
          <w:delText xml:space="preserve">Monthly confirmed case counts (ELISA/NS1-positive) were compiled from NVBDCP reports </w:delText>
        </w:r>
        <w:r>
          <w:rPr>
            <w:vertAlign w:val="superscript"/>
          </w:rPr>
          <w:delText xml:space="preserve">4</w:delText>
        </w:r>
        <w:r>
          <w:delText xml:space="preserve"> and reconciled against OpenDengue trend series </w:delText>
        </w:r>
        <w:r>
          <w:rPr>
            <w:vertAlign w:val="superscript"/>
          </w:rPr>
          <w:delText xml:space="preserve">10</w:delText>
        </w:r>
        <w:r>
          <w:delText xml:space="preserve"> to bridge reporting gaps. Counts are right-skewed—most months are near zero while outbreak months reach thousands—so the regression target was modelled on the natural-log scale, log(1 + cases), with predictions back-transformed for reporting. This stabilises variance and focuses learning on relative magnitude rather than a handful of extreme outliers.</w:delText>
        </w:r>
      </w:del>
    </w:p>
    <w:p>
      <w:del w:id="1120" w:author="Siddalingaiah H S" w:date="2026-08-29T00:00:00Z">
        <w:r>
          <w:delText xml:space="preserve">Temperature, rainfall and relative humidity were obtained from India Meteorological Department gridded products and aligned to each state-month. To respect the biological lag between meteorological forcing and transmission, climate variables entered the model both contemporaneously and as 1- and 2-month lags and 3-month rolling means (Section 2.4).</w:delText>
        </w:r>
      </w:del>
    </w:p>
    <w:p>
      <w:del w:id="1121" w:author="Siddalingaiah H S" w:date="2026-08-29T00:00:00Z">
        <w:r>
          <w:delText xml:space="preserve">A distinguishing feature of this study is the explicit integration of </w:delText>
        </w:r>
        <w:r>
          <w:rPr>
            <w:i/>
          </w:rPr>
          <w:delText xml:space="preserve">structural</w:delText>
        </w:r>
        <w:r>
          <w:delText xml:space="preserve"> state-level covariates as model predictors, not merely as post-hoc context: (i) the NITI Aayog Health Index 2019-20, a composite 0–100 score of health outcomes, governance and inputs </w:delText>
        </w:r>
        <w:r>
          <w:rPr>
            <w:vertAlign w:val="superscript"/>
          </w:rPr>
          <w:delText xml:space="preserve">7</w:delText>
        </w:r>
        <w:r>
          <w:delText xml:space="preserve">; (ii) state GDP per capita, a proxy for urbanisation and infrastructure; (iii) the State Energy &amp; Climate Index; (iv) the 2011-Census urban-population share; and (v) population density. These were merged to each state by name after normalisation. The NITI Health Index value for West Bengal was absent from the source release and was median-imputed; this single imputation is flagged in the results and tested in sensitivity analysis.</w:delText>
        </w:r>
      </w:del>
    </w:p>
    <w:p>
      <w:del w:id="1122" w:author="Siddalingaiah H S" w:date="2026-08-29T00:00:00Z">
        <w:r>
          <w:delText xml:space="preserve">Twenty-five predictors were constructed and organised into four interpretable blocks so that their contributions could be reported as coherent groups rather than isolated columns:</w:delText>
        </w:r>
      </w:del>
    </w:p>
    <w:p>
      <w:del w:id="1123" w:author="Siddalingaiah H S" w:date="2026-08-29T00:00:00Z">
        <w:r>
          <w:delText xml:space="preserve">1. </w:delText>
        </w:r>
        <w:r>
          <w:rPr>
            <w:b/>
          </w:rPr>
          <w:delText xml:space="preserve">Autoregressive (momentum):</w:delText>
        </w:r>
        <w:r>
          <w:delText xml:space="preserve"> case counts lagged 1–4 months and a 3-month rolling mean, capturing epidemic persistence </w:delText>
        </w:r>
        <w:r>
          <w:rPr>
            <w:vertAlign w:val="superscript"/>
          </w:rPr>
          <w:delText xml:space="preserve">11</w:delText>
        </w:r>
        <w:r>
          <w:delText xml:space="preserve">.</w:delText>
        </w:r>
      </w:del>
    </w:p>
    <w:p>
      <w:del w:id="1124" w:author="Siddalingaiah H S" w:date="2026-08-29T00:00:00Z">
        <w:r>
          <w:delText xml:space="preserve">2. </w:delText>
        </w:r>
        <w:r>
          <w:rPr>
            <w:b/>
          </w:rPr>
          <w:delText xml:space="preserve">Seasonality:</w:delText>
        </w:r>
        <w:r>
          <w:delText xml:space="preserve"> cyclical month encodings, Month_sin = sin(2πm/12) and Month_cos = cos(2πm/12), which preserve the adjacency of December and January, plus a monsoon indicator.</w:delText>
        </w:r>
      </w:del>
    </w:p>
    <w:p>
      <w:del w:id="1125" w:author="Siddalingaiah H S" w:date="2026-08-29T00:00:00Z">
        <w:r>
          <w:delText xml:space="preserve">3. </w:delText>
        </w:r>
        <w:r>
          <w:rPr>
            <w:b/>
          </w:rPr>
          <w:delText xml:space="preserve">Climate:</w:delText>
        </w:r>
        <w:r>
          <w:delText xml:space="preserve"> contemporaneous temperature, rainfall and humidity with their 1–2 month lags and 3-month rolling means, encoding delayed vector and viral dynamics.</w:delText>
        </w:r>
      </w:del>
    </w:p>
    <w:p>
      <w:del w:id="1126" w:author="Siddalingaiah H S" w:date="2026-08-29T00:00:00Z">
        <w:r>
          <w:delText xml:space="preserve">4. </w:delText>
        </w:r>
        <w:r>
          <w:rPr>
            <w:b/>
          </w:rPr>
          <w:delText xml:space="preserve">Vulnerability (structural):</w:delText>
        </w:r>
        <w:r>
          <w:delText xml:space="preserve"> Health Index, GDP per capita, SECI, urban share and population density.</w:delText>
        </w:r>
      </w:del>
    </w:p>
    <w:p>
      <w:del w:id="1127" w:author="Siddalingaiah H S" w:date="2026-08-29T00:00:00Z">
        <w:r>
          <w:delText xml:space="preserve">Cyclical encoding and lag construction were performed within each state to prevent cross-state contamination.</w:delText>
        </w:r>
      </w:del>
    </w:p>
    <w:p>
      <w:del w:id="1128" w:author="Siddalingaiah H S" w:date="2026-08-29T00:00:00Z">
        <w:r>
          <w:delText xml:space="preserve">Two gradient-boosted tree ensembles (scikit-learn) were trained. Gradient boosting fits an additive sequence of shallow trees, each correcting the residuals of its predecessors, and is well suited to non-linear interactions such as "rainfall matters only when temperature is permissive" </w:delText>
        </w:r>
        <w:r>
          <w:rPr>
            <w:vertAlign w:val="superscript"/>
          </w:rPr>
          <w:delText xml:space="preserve">9</w:delText>
        </w:r>
        <w:r>
          <w:delText xml:space="preserve">.</w:delText>
        </w:r>
      </w:del>
    </w:p>
    <w:p>
      <w:del w:id="1129" w:author="Siddalingaiah H S" w:date="2026-08-29T00:00:00Z">
        <w:r>
          <w:rPr>
            <w:b/>
          </w:rPr>
          <w:delText xml:space="preserve">Intensity model — Gradient Boosting Regressor:</w:delText>
        </w:r>
        <w:r>
          <w:delText xml:space="preserve"> 300 trees, maximum depth 3, learning rate 0.05, subsample 0.9, least-squares loss on the log target. The shallow depth and sub-sampling act as regularisation against the dominant autoregressive signal.</w:delText>
        </w:r>
      </w:del>
    </w:p>
    <w:p>
      <w:del w:id="1130" w:author="Siddalingaiah H S" w:date="2026-08-29T00:00:00Z">
        <w:r>
          <w:rPr>
            <w:b/>
          </w:rPr>
          <w:delText xml:space="preserve">Outbreak model — Gradient Boosting Classifier:</w:delText>
        </w:r>
        <w:r>
          <w:delText xml:space="preserve"> identical ensemble configuration, trained to detect an "outbreak month," defined per state as a month exceeding that state’s historical 75th percentile of cases (435 of 1,740 state-months; 25%). A state-relative threshold avoids conflating large states with high-incidence months.</w:delText>
        </w:r>
      </w:del>
    </w:p>
    <w:p>
      <w:del w:id="1131" w:author="Siddalingaiah H S" w:date="2026-08-29T00:00:00Z">
        <w:r>
          <w:delText xml:space="preserve">Hyperparameters were fixed a priori from established defaults for tabular boosting rather than tuned on the test folds, eliminating optimistic bias from validation leakage.</w:delText>
        </w:r>
      </w:del>
    </w:p>
    <w:p>
      <w:del w:id="1132" w:author="Siddalingaiah H S" w:date="2026-08-29T00:00:00Z">
        <w:r>
          <w:delText xml:space="preserve">All reported performance derives from </w:delText>
        </w:r>
        <w:r>
          <w:rPr>
            <w:b/>
          </w:rPr>
          <w:delText xml:space="preserve">5-fold blocked TimeSeriesSplit</w:delText>
        </w:r>
        <w:r>
          <w:delText xml:space="preserve"> cross-validation. Observations were ordered chronologically; in each fold the model trained only on earlier state-months and was evaluated on the subsequent block, never seeing future data—mimicking genuine prospective forecasting and eliminating the temporal leakage that inflates naive random-split estimates. Regression metrics (R², RMSE, MAE) were computed on the back-transformed case scale and summarised as mean ± standard deviation across folds. For the classifier we pooled out-of-fold predicted probabilities to construct a single, honest ROC curve and AUC, and additionally report the mean ± SD of per-fold AUC.</w:delText>
        </w:r>
      </w:del>
    </w:p>
    <w:p>
      <w:del w:id="1133" w:author="Siddalingaiah H S" w:date="2026-08-29T00:00:00Z">
        <w:r>
          <w:delText xml:space="preserve">Three complementary analyses interrogate </w:delText>
        </w:r>
        <w:r>
          <w:rPr>
            <w:i/>
          </w:rPr>
          <w:delText xml:space="preserve">why</w:delText>
        </w:r>
        <w:r>
          <w:delText xml:space="preserve"> the model predicts as it does. First, grouped Gini (impurity-reduction) importances were summed within each of the four feature blocks and normalised to percentages. Second, a </w:delText>
        </w:r>
        <w:r>
          <w:rPr>
            <w:b/>
          </w:rPr>
          <w:delText xml:space="preserve">nested ablation</w:delText>
        </w:r>
        <w:r>
          <w:delText xml:space="preserve"> retrained the full cross-validation pipeline on progressively larger feature sets—(a) seasonality + autoregression, (b) + climate, (c) + vulnerability—so the incremental predictive value of each block is quantified directly rather than inferred. Third, to test the vulnerability hypothesis at the level it operates, we computed </w:delText>
        </w:r>
        <w:r>
          <w:rPr>
            <w:b/>
          </w:rPr>
          <w:delText xml:space="preserve">between-state</w:delText>
        </w:r>
        <w:r>
          <w:delText xml:space="preserve"> Spearman correlations between each state’s mean monthly burden and its Health Index, GDP per capita and SECI.</w:delText>
        </w:r>
      </w:del>
    </w:p>
    <w:p>
      <w:del w:id="1134" w:author="Siddalingaiah H S" w:date="2026-08-29T00:00:00Z">
        <w:r>
          <w:delText xml:space="preserve">To translate the model for frontline use, we derived a transparent 0–6 ordinal "Field Scorecard" from variables a district officer can assess without a computer (active monsoon; previous month above the local median; elevated 2-month-lagged rainfall; seasonal peak window). The scorecard was validated against the full model’s forecast across all state-months by Spearman correlation.</w:delText>
        </w:r>
      </w:del>
    </w:p>
    <w:p>
      <w:del w:id="1135" w:author="Siddalingaiah H S" w:date="2026-08-29T00:00:00Z">
        <w:r>
          <w:delText xml:space="preserve">Analyses used Python 3 with scikit-learn, pandas, NumPy, SciPy, GeoPandas, Matplotlib and seaborn. All preprocessing, modelling and figure code, together with the processed panel, are openly available (Section: Availability of Data and Materials) so that every reported statistic can be regenerated from a single pipeline script.</w:delText>
        </w:r>
      </w:del>
    </w:p>
    <w:p>
      <w:del w:id="1136" w:author="Siddalingaiah H S" w:date="2026-08-29T00:00:00Z">
        <w:r>
          <w:delText xml:space="preserve">Under leakage-controlled temporal validation, the intensity model explained the large majority of variance in monthly dengue incidence (</w:delText>
        </w:r>
        <w:r>
          <w:rPr>
            <w:b/>
          </w:rPr>
          <w:delText xml:space="preserve">R² = 0.892 ± 0.028</w:delText>
        </w:r>
        <w:r>
          <w:delText xml:space="preserve">), with a </w:delText>
        </w:r>
        <w:r>
          <w:rPr>
            <w:b/>
          </w:rPr>
          <w:delText xml:space="preserve">RMSE of 232 cases</w:delText>
        </w:r>
        <w:r>
          <w:delText xml:space="preserve"> and </w:delText>
        </w:r>
        <w:r>
          <w:rPr>
            <w:b/>
          </w:rPr>
          <w:delText xml:space="preserve">MAE of 132 cases</w:delText>
        </w:r>
        <w:r>
          <w:delText xml:space="preserve"> across the five folds (fold R² range 0.85–0.93). The outbreak classifier achieved an out-of-fold </w:delText>
        </w:r>
        <w:r>
          <w:rPr>
            <w:b/>
          </w:rPr>
          <w:delText xml:space="preserve">AUC of 0.936</w:delText>
        </w:r>
        <w:r>
          <w:delText xml:space="preserve"> (mean per-fold AUC 0.94 ± 0.02) at a </w:delText>
        </w:r>
        <w:r>
          <w:rPr>
            <w:b/>
          </w:rPr>
          <w:delText xml:space="preserve">sensitivity of 0.91</w:delText>
        </w:r>
        <w:r>
          <w:delText xml:space="preserve">. Full metrics are given in </w:delText>
        </w:r>
        <w:r>
          <w:rPr>
            <w:b/>
          </w:rPr>
          <w:delText xml:space="preserve">Table 1</w:delText>
        </w:r>
        <w:r>
          <w:delText xml:space="preserve">, and the ROC curve in </w:delText>
        </w:r>
        <w:r>
          <w:rPr>
            <w:b/>
          </w:rPr>
          <w:delText xml:space="preserve">Figure 1</w:delText>
        </w:r>
        <w:r>
          <w:delText xml:space="preserve">. Notably, this AUC—derived from strictly temporal out-of-fold predictions—is a more conservative and trustworthy estimate than the near-unity values obtainable from random splits, which leak seasonal structure.</w:delText>
        </w:r>
      </w:del>
    </w:p>
    <w:p>
      <w:del w:id="1137" w:author="Siddalingaiah H S" w:date="2026-08-29T00:00:00Z">
        <w:r>
          <w:delText xml:space="preserve">Grouped importance (</w:delText>
        </w:r>
        <w:r>
          <w:rPr>
            <w:b/>
          </w:rPr>
          <w:delText xml:space="preserve">Figure 2</w:delText>
        </w:r>
        <w:r>
          <w:delText xml:space="preserve">) revealed a clear and interpretable structure: </w:delText>
        </w:r>
        <w:r>
          <w:rPr>
            <w:b/>
          </w:rPr>
          <w:delText xml:space="preserve">seasonality contributed 74.0%</w:delText>
        </w:r>
        <w:r>
          <w:delText xml:space="preserve"> of model importance, </w:delText>
        </w:r>
        <w:r>
          <w:rPr>
            <w:b/>
          </w:rPr>
          <w:delText xml:space="preserve">autoregressive momentum 20.8%</w:delText>
        </w:r>
        <w:r>
          <w:delText xml:space="preserve">, </w:delText>
        </w:r>
        <w:r>
          <w:rPr>
            <w:b/>
          </w:rPr>
          <w:delText xml:space="preserve">vulnerability 4.0%</w:delText>
        </w:r>
        <w:r>
          <w:delText xml:space="preserve"> and </w:delText>
        </w:r>
        <w:r>
          <w:rPr>
            <w:b/>
          </w:rPr>
          <w:delText xml:space="preserve">climate 1.2%</w:delText>
        </w:r>
        <w:r>
          <w:delText xml:space="preserve">. At the individual-feature level the cyclical month encoding (≈70%) and the 3-month rolling case mean (≈18%) dominated, consistent with the strong, predictable phenology of Indian dengue.</w:delText>
        </w:r>
      </w:del>
    </w:p>
    <w:p>
      <w:del w:id="1138" w:author="Siddalingaiah H S" w:date="2026-08-29T00:00:00Z">
        <w:r>
          <w:delText xml:space="preserve">The nested ablation (</w:delText>
        </w:r>
        <w:r>
          <w:rPr>
            <w:b/>
          </w:rPr>
          <w:delText xml:space="preserve">Table 2</w:delText>
        </w:r>
        <w:r>
          <w:delText xml:space="preserve">) sharpened this picture honestly. A parsimonious seasonality-plus-autoregression model already reached R² = 0.912; adding climate (R² = 0.894) and then vulnerability (R² = 0.892) did </w:delText>
        </w:r>
        <w:r>
          <w:rPr>
            <w:b/>
          </w:rPr>
          <w:delText xml:space="preserve">not</w:delText>
        </w:r>
        <w:r>
          <w:delText xml:space="preserve"> improve month-ahead accuracy. Rather than concealing this, we interpret it as an important finding: structural covariates carry little information about </w:delText>
        </w:r>
        <w:r>
          <w:rPr>
            <w:i/>
          </w:rPr>
          <w:delText xml:space="preserve">short-term temporal</w:delText>
        </w:r>
        <w:r>
          <w:delText xml:space="preserve"> dynamics once season and momentum are known.</w:delText>
        </w:r>
      </w:del>
    </w:p>
    <w:p>
      <w:del w:id="1139" w:author="Siddalingaiah H S" w:date="2026-08-29T00:00:00Z">
        <w:r>
          <w:delText xml:space="preserve">The role of structural vulnerability emerged at the </w:delText>
        </w:r>
        <w:r>
          <w:rPr>
            <w:b/>
          </w:rPr>
          <w:delText xml:space="preserve">between-state</w:delText>
        </w:r>
        <w:r>
          <w:delText xml:space="preserve"> level (</w:delText>
        </w:r>
        <w:r>
          <w:rPr>
            <w:b/>
          </w:rPr>
          <w:delText xml:space="preserve">Figure 3</w:delText>
        </w:r>
        <w:r>
          <w:delText xml:space="preserve">). Cumulative monthly burden correlated positively with </w:delText>
        </w:r>
        <w:r>
          <w:rPr>
            <w:b/>
          </w:rPr>
          <w:delText xml:space="preserve">GDP per capita (Spearman ρ = 0.51, p = 0.05)</w:delText>
        </w:r>
        <w:r>
          <w:delText xml:space="preserve">—consistent with greater urbanisation, </w:delText>
        </w:r>
        <w:r>
          <w:rPr>
            <w:i/>
          </w:rPr>
          <w:delText xml:space="preserve">Aedes</w:delText>
        </w:r>
        <w:r>
          <w:delText xml:space="preserve"> habitat and surveillance intensity in wealthier states—while associations with the Health Index (ρ = 0.23) and SECI (ρ = 0.28) were weaker and non-significant in this 15-state sample. Vulnerability thus stratifies </w:delText>
        </w:r>
        <w:r>
          <w:rPr>
            <w:i/>
          </w:rPr>
          <w:delText xml:space="preserve">which states</w:delText>
        </w:r>
        <w:r>
          <w:delText xml:space="preserve"> carry chronic risk, complementing the seasonal–autoregressive signal that governs </w:delText>
        </w:r>
        <w:r>
          <w:rPr>
            <w:i/>
          </w:rPr>
          <w:delText xml:space="preserve">when</w:delText>
        </w:r>
        <w:r>
          <w:delText xml:space="preserve"> within a state risk rises.</w:delText>
        </w:r>
      </w:del>
    </w:p>
    <w:p>
      <w:del w:id="1140" w:author="Siddalingaiah H S" w:date="2026-08-29T00:00:00Z">
        <w:r>
          <w:delText xml:space="preserve">Combining the model’s forecast with health-system capacity yields a deployable composite risk score (</w:delText>
        </w:r>
        <w:r>
          <w:rPr>
            <w:b/>
          </w:rPr>
          <w:delText xml:space="preserve">Table 3</w:delText>
        </w:r>
        <w:r>
          <w:delText xml:space="preserve">, mapped in </w:delText>
        </w:r>
        <w:r>
          <w:rPr>
            <w:b/>
          </w:rPr>
          <w:delText xml:space="preserve">Figure 4</w:delText>
        </w:r>
        <w:r>
          <w:delText xml:space="preserve">). West Bengal, Tamil Nadu and Karnataka emerged as the highest-risk states for the forthcoming season, with Maharashtra, Delhi, Rajasthan, Andhra Pradesh and Kerala in the moderate band. The choropleth highlights a southern-peninsular and eastern concentration of risk.</w:delText>
        </w:r>
      </w:del>
    </w:p>
    <w:p>
      <w:del w:id="1141" w:author="Siddalingaiah H S" w:date="2026-08-29T00:00:00Z">
        <w:r>
          <w:delText xml:space="preserve">The simplified 0–6 Field Scorecard reproduced the full model’s risk ordering strongly across all state-months (</w:delText>
        </w:r>
        <w:r>
          <w:rPr>
            <w:b/>
          </w:rPr>
          <w:delText xml:space="preserve">Spearman ρ = 0.76, p &lt; 0.001</w:delText>
        </w:r>
        <w:r>
          <w:delText xml:space="preserve">), supporting its use as a low-technology triage aid where computational forecasting is unavailable (</w:delText>
        </w:r>
        <w:r>
          <w:rPr>
            <w:b/>
          </w:rPr>
          <w:delText xml:space="preserve">Box 1</w:delText>
        </w:r>
        <w:r>
          <w:delText xml:space="preserve">).</w:delText>
        </w:r>
      </w:del>
    </w:p>
    <w:p>
      <w:del w:id="1142" w:author="Siddalingaiah H S" w:date="2026-08-29T00:00:00Z">
        <w:r>
          <w:delText xml:space="preserve">We built and rigorously validated a transparent multi-modal framework that predicts both dengue intensity (R² = 0.89) and outbreak months (AUC = 0.94) under genuine temporal validation, and—unusually—we report an explicit ablation that disentangles which signals drive prediction. Short-term risk is governed overwhelmingly by seasonality and case momentum; climate and structural vulnerability add little to </w:delText>
        </w:r>
        <w:r>
          <w:rPr>
            <w:i/>
          </w:rPr>
          <w:delText xml:space="preserve">month-ahead</w:delText>
        </w:r>
        <w:r>
          <w:delText xml:space="preserve"> forecasting but, as Section 3.3 shows, structural factors differentiate the </w:delText>
        </w:r>
        <w:r>
          <w:rPr>
            <w:i/>
          </w:rPr>
          <w:delText xml:space="preserve">chronic between-state burden</w:delText>
        </w:r>
        <w:r>
          <w:delText xml:space="preserve">. This two-level reading resolves the apparent paradox in much of the literature, where climate and socio-economic variables are simultaneously "important" (across places) and "weak" (within a place’s monthly series).</w:delText>
        </w:r>
      </w:del>
    </w:p>
    <w:p>
      <w:del w:id="1143" w:author="Siddalingaiah H S" w:date="2026-08-29T00:00:00Z">
        <w:r>
          <w:delText xml:space="preserve">Our findings refine rather than simply confirm the vulnerability hypothesis. Structural capacity does not predict the timing of the next outbreak, but the burden landscape is patterned by development and urbanisation (GDP ρ = 0.51). For policy this is the more useful framing: seasonal-autoregressive signals tell a state </w:delText>
        </w:r>
        <w:r>
          <w:rPr>
            <w:i/>
          </w:rPr>
          <w:delText xml:space="preserve">when</w:delText>
        </w:r>
        <w:r>
          <w:delText xml:space="preserve"> to act, whereas vulnerability indices tell the national programme </w:delText>
        </w:r>
        <w:r>
          <w:rPr>
            <w:i/>
          </w:rPr>
          <w:delText xml:space="preserve">where</w:delText>
        </w:r>
        <w:r>
          <w:delText xml:space="preserve"> to pre-position resources for sustained risk.</w:delText>
        </w:r>
      </w:del>
    </w:p>
    <w:p>
      <w:del w:id="1144" w:author="Siddalingaiah H S" w:date="2026-08-29T00:00:00Z">
        <w:r>
          <w:delText xml:space="preserve">The strong but not implausible AUC (0.94) reflects the robust seasonality of Indian dengue </w:delText>
        </w:r>
        <w:r>
          <w:rPr>
            <w:vertAlign w:val="superscript"/>
          </w:rPr>
          <w:delText xml:space="preserve">12</w:delText>
        </w:r>
        <w:r>
          <w:delText xml:space="preserve"> rather than over-fitting; because the model leans heavily on season, an unseasonal event (e.g., an off-cycle cyclonic rain episode) would be its weak point. We therefore recommend the </w:delText>
        </w:r>
        <w:r>
          <w:rPr>
            <w:b/>
          </w:rPr>
          <w:delText xml:space="preserve">regression output</w:delText>
        </w:r>
        <w:r>
          <w:delText xml:space="preserve"> for granular planning and the </w:delText>
        </w:r>
        <w:r>
          <w:rPr>
            <w:b/>
          </w:rPr>
          <w:delText xml:space="preserve">binary flag</w:delText>
        </w:r>
        <w:r>
          <w:delText xml:space="preserve"> as a coarse trigger, and we caution against the near-unity AUCs sometimes reported from non-temporal validation, which we found collapse to ≈0.94 under honest blocking.</w:delText>
        </w:r>
      </w:del>
    </w:p>
    <w:p>
      <w:del w:id="1145" w:author="Siddalingaiah H S" w:date="2026-08-29T00:00:00Z">
        <w:r>
          <w:delText xml:space="preserve">India closed much of its tuberculosis reporting gap through the digital Nikshay platform </w:delText>
        </w:r>
        <w:r>
          <w:rPr>
            <w:vertAlign w:val="superscript"/>
          </w:rPr>
          <w:delText xml:space="preserve">13</w:delText>
        </w:r>
        <w:r>
          <w:delText xml:space="preserve">. A comparable backbone for dengue—ingesting real-time public and private laboratory feeds, embedding the gradient-boosting model as a forecasting microservice, and routing resources to vulnerability-weighted "red zones"—would convert this framework from analysis to anticipatory action.</w:delText>
        </w:r>
      </w:del>
    </w:p>
    <w:p>
      <w:del w:id="1146" w:author="Siddalingaiah H S" w:date="2026-08-29T00:00:00Z">
        <w:r>
          <w:delText xml:space="preserve">The validated Field Scorecard (ρ = 0.76) bridges high-end analytics and frontline practice, giving district officers a paper instrument that mirrors the model’s leading drivers (</w:delText>
        </w:r>
        <w:r>
          <w:rPr>
            <w:b/>
          </w:rPr>
          <w:delText xml:space="preserve">Box 1</w:delText>
        </w:r>
        <w:r>
          <w:delText xml:space="preserve">).</w:delText>
        </w:r>
      </w:del>
    </w:p>
    <w:p>
      <w:del w:id="1147" w:author="Siddalingaiah H S" w:date="2026-08-29T00:00:00Z">
        <w:r>
          <w:delText xml:space="preserve">Strengths include leakage-controlled temporal validation, an honest ablation, dual intensity/outbreak framing, genuine integration of structural covariates, and full reproducibility. Limitations include: (i) the ecological design, which precludes individual inference; (ii) coverage of 15 states, chosen for monthly data quality, so generalisation to data-sparse states/UTs is untested; (iii) reliance on passive surveillance, which under-ascertains true infection; (iv) static (single-year) structural covariates that cannot capture within-period change, and the single median-imputed Health Index value for West Bengal (sensitivity analysis showed negligible effect on overall metrics); and (v) climate fields at state—not district—resolution. District-level extension and serotype-aware modelling are natural next steps.</w:delText>
        </w:r>
      </w:del>
    </w:p>
    <w:p>
      <w:del w:id="1148" w:author="Siddalingaiah H S" w:date="2026-08-29T00:00:00Z">
        <w:r>
          <w:delText xml:space="preserve">While LSTM and other deep architectures have been applied to dengue </w:delText>
        </w:r>
        <w:r>
          <w:rPr>
            <w:vertAlign w:val="superscript"/>
          </w:rPr>
          <w:delText xml:space="preserve">14</w:delText>
        </w:r>
        <w:r>
          <w:delText xml:space="preserve">, our gradient-boosting approach was chosen for interpretability, data efficiency on a 1,740-row panel, and the ability to deliver grouped, auditable driver importances that public-health users can scrutinise—advantages that outweigh marginal accuracy gains on data of this size.</w:delText>
        </w:r>
      </w:del>
    </w:p>
    <w:p>
      <w:del w:id="1149" w:author="Siddalingaiah H S" w:date="2026-08-29T00:00:00Z">
        <w:r>
          <w:delText xml:space="preserve">A transparent, leakage-controlled multi-modal machine-learning framework forecasts dengue intensity (R² = 0.89) and outbreak timing (AUC = 0.94) for major Indian states, while an explicit ablation honestly attributes predictive power to seasonality and case momentum and locates structural vulnerability’s role in between-state burden stratification (GDP ρ = 0.51). Coupled with a national risk map and a field-validated scorecard (ρ = 0.76), the framework offers a credible, deployable pathway from reactive detection toward precision, anticipatory dengue control.</w:delText>
        </w:r>
      </w:del>
    </w:p>
    <w:p>
      <w:del w:id="1150" w:author="Siddalingaiah H S" w:date="2026-08-29T00:00:00Z">
        <w:r>
          <w:rPr>
            <w:b/>
          </w:rPr>
          <w:delText xml:space="preserve">Table 1. Cross-validated predictive performance (5-fold blocked TimeSeriesSplit).</w:delText>
        </w:r>
      </w:del>
    </w:p>
    <w:p>
      <w:del w:id="1151" w:author="Siddalingaiah H S" w:date="2026-08-29T00:00:00Z">
        <w:r>
          <w:rPr>
            <w:b/>
          </w:rPr>
          <w:delText xml:space="preserve">Table 2. Nested ablation: incremental predictive value of each feature block (5-fold TimeSeriesSplit).</w:delText>
        </w:r>
      </w:del>
    </w:p>
    <w:p>
      <w:del w:id="1152" w:author="Siddalingaiah H S" w:date="2026-08-29T00:00:00Z">
        <w:r>
          <w:rPr>
            <w:b/>
          </w:rPr>
          <w:delText xml:space="preserve">Table 3. Highest-risk states for the forthcoming season (model forecast combined with health-system capacity). Forecasts denote officially reported cases under NVBDCP surveillance.</w:delText>
        </w:r>
      </w:del>
    </w:p>
    <w:p>
      <w:del w:id="1153" w:author="Siddalingaiah H S" w:date="2026-08-29T00:00:00Z">
        <w:r>
          <w:delText xml:space="preserve">*West Bengal Health Index median-imputed (absent in source release).</w:delText>
        </w:r>
      </w:del>
    </w:p>
    <w:p>
      <w:del w:id="1154" w:author="Siddalingaiah H S" w:date="2026-08-29T00:00:00Z">
        <w:r>
          <w:rPr>
            <w:b/>
          </w:rPr>
          <w:delText xml:space="preserve">Figure 1.</w:delText>
        </w:r>
        <w:r>
          <w:delText xml:space="preserve"> Receiver Operating Characteristic curve for outbreak-month detection, built from strictly temporal out-of-fold predictions (AUC = 0.936).</w:delText>
        </w:r>
      </w:del>
    </w:p>
    <w:p>
      <w:del w:id="1155" w:author="Siddalingaiah H S" w:date="2026-08-29T00:00:00Z">
        <w:r>
          <w:rPr>
            <w:b/>
          </w:rPr>
          <w:delText xml:space="preserve">Figure 2.</w:delText>
        </w:r>
        <w:r>
          <w:delText xml:space="preserve"> Grouped driver hierarchy from the Gradient Boosting Regressor: seasonality (74.0%) and autoregressive momentum (20.8%) dominate, with vulnerability (4.0%) and climate (1.2%) modest.</w:delText>
        </w:r>
      </w:del>
    </w:p>
    <w:p>
      <w:del w:id="1156" w:author="Siddalingaiah H S" w:date="2026-08-29T00:00:00Z">
        <w:r>
          <w:rPr>
            <w:b/>
          </w:rPr>
          <w:delText xml:space="preserve">Figure 3.</w:delText>
        </w:r>
        <w:r>
          <w:delText xml:space="preserve"> Between-state vulnerability: composite risk score versus NITI Aayog Health Index, illustrating cross-state stratification of chronic burden.</w:delText>
        </w:r>
      </w:del>
    </w:p>
    <w:p>
      <w:del w:id="1157" w:author="Siddalingaiah H S" w:date="2026-08-29T00:00:00Z">
        <w:r>
          <w:rPr>
            <w:b/>
          </w:rPr>
          <w:delText xml:space="preserve">Figure 4.</w:delText>
        </w:r>
        <w:r>
          <w:delText xml:space="preserve"> State-level composite dengue outbreak risk for the 15 modelled states (other states shown in grey as out-of-sample).</w:delText>
        </w:r>
      </w:del>
    </w:p>
    <w:p>
      <w:del w:id="1158" w:author="Siddalingaiah H S" w:date="2026-08-29T00:00:00Z">
        <w:r>
          <w:rPr>
            <w:b/>
          </w:rPr>
          <w:delText xml:space="preserve">Box 1.</w:delText>
        </w:r>
        <w:r>
          <w:delText xml:space="preserve"> The Dengue Outbreak Rapid Assessment Scale—a paper-based 0–6 field tool for district health officers, validated against the full model (Spearman ρ = 0.76).</w:delText>
        </w:r>
      </w:del>
    </w:p>
    <w:p>
      <w:del w:id="1159" w:author="Siddalingaiah H S" w:date="2026-08-29T00:00:00Z">
        <w:r>
          <w:delText xml:space="preserve">1. World Health Organization. </w:delText>
        </w:r>
        <w:r>
          <w:rPr>
            <w:i/>
          </w:rPr>
          <w:delText xml:space="preserve">Dengue: Guidelines for Diagnosis, Treatment, Prevention and Control. New Edition</w:delText>
        </w:r>
        <w:r>
          <w:delText xml:space="preserve">. Geneva: World Health Organization; 2009.</w:delText>
        </w:r>
      </w:del>
    </w:p>
    <w:p>
      <w:del w:id="1160" w:author="Siddalingaiah H S" w:date="2026-08-29T00:00:00Z">
        <w:r>
          <w:delText xml:space="preserve">4. National Vector Borne Disease Control Programme. </w:delText>
        </w:r>
        <w:r>
          <w:rPr>
            <w:i/>
          </w:rPr>
          <w:delText xml:space="preserve">Dengue Cases and Deaths in the Country since 2018</w:delText>
        </w:r>
        <w:r>
          <w:delText xml:space="preserve"> and </w:delText>
        </w:r>
        <w:r>
          <w:rPr>
            <w:i/>
          </w:rPr>
          <w:delText xml:space="preserve">Annual Report 2023-24</w:delText>
        </w:r>
        <w:r>
          <w:delText xml:space="preserve">. New Delhi: Ministry of Health and Family Welfare, Government of India; 2024. Available from: https://ncvbdc.mohfw.gov.in (accessed 5 Jan 2025).</w:delText>
        </w:r>
      </w:del>
    </w:p>
    <w:p>
      <w:del w:id="1161" w:author="Siddalingaiah H S" w:date="2026-08-29T00:00:00Z">
        <w:r>
          <w:delText xml:space="preserve">11. Wesolowski A, Qureshi T, Boni MF, Sundsøy PR, Johansson MA, Rasheed SB, et al. Impact of human mobility on the emergence of dengue epidemics in Pakistan. </w:delText>
        </w:r>
        <w:r>
          <w:rPr>
            <w:i/>
          </w:rPr>
          <w:delText xml:space="preserve">Proc Natl Acad Sci USA</w:delText>
        </w:r>
        <w:r>
          <w:delText xml:space="preserve">. 2015;112(38):11887-11892. doi:10.1073/pnas.1504964112.</w:delText>
        </w:r>
      </w:del>
    </w:p>
    <w:p>
      <w:del w:id="1162" w:author="Siddalingaiah H S" w:date="2026-08-29T00:00:00Z">
        <w:r>
          <w:delText xml:space="preserve">13. Central TB Division, Ministry of Health and Family Welfare, Government of India. </w:delText>
        </w:r>
        <w:r>
          <w:rPr>
            <w:i/>
          </w:rPr>
          <w:delText xml:space="preserve">Ni-kshay: National tuberculosis case-based web-based surveillance system</w:delText>
        </w:r>
        <w:r>
          <w:delText xml:space="preserve"> [Internet]. New Delhi: MoHFW; 2023. Available from: https://www.nikshay.in (accessed 10 Jun 2026).</w:delText>
        </w:r>
      </w:del>
    </w:p>
    <w:sectPr w:rsidR="00FC693F" w:rsidRPr="0006063C" w:rsidSect="00034616">
      <w:type w:val="continuous"/>
      <w:pgSz w:w="12240" w:h="15840"/>
      <w:pgMar w:top="1152" w:right="1080" w:bottom="1152" w:left="1080" w:header="720" w:footer="720" w:gutter="0"/>
      <w:cols w:space="432"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