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Apparent Machine Learning Skill in Indian Dengue Forecasting Vanishes Under Leakage-Free Within-State Evaluation</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India admin-1 records extracted from the OpenDengue Spatial extract V1.3, the NCVBDC reconciliation table and all analysis outputs are openly available at https://github.com/hssling/Dengue_Outbreak_Prediction. A manifest records the origin, release version and SHA-256 checksum of every input file.</w:t>
      </w:r>
    </w:p>
    <w:p>
      <w:r>
        <w:rPr>
          <w:b/>
          <w:sz w:val="18"/>
        </w:rPr>
        <w:t xml:space="preserve">Code Availability. </w:t>
      </w:r>
      <w:r>
        <w:rPr>
          <w:sz w:val="18"/>
        </w:rPr>
        <w:t>All code for panel construction and reconciliation, leakage-free modelling, the benchmark suite, the leakage experiment and figure generation is available at the repository above, together with two automated verification suites. Every number and figure reported here is regenerated in a single pass; see Supplementary Table S6 for instructions.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ins w:id="1001" w:author="Siddalingaiah H S" w:date="2026-08-29T00:00:00Z">
        <w:r>
          <w:rPr>
            <w:b/>
          </w:rPr>
          <w:t>Background:</w:t>
        </w:r>
        <w:r>
          <w:t xml:space="preserve"> Machine-learning early-warning systems for dengue routinely report high accuracy, yet such claims depend entirely on the provenance of the underlying surveillance data and on whether the evaluation design excludes information unavailable at the moment a forecast is issued. No continuous monthly state-level case series is publicly available for India.</w:t>
        </w:r>
      </w:ins>
    </w:p>
    <w:p>
      <w:ins w:id="1002" w:author="Siddalingaiah H S" w:date="2026-08-29T00:00:00Z">
        <w:r>
          <w:rPr>
            <w:b/>
          </w:rPr>
          <w:t>Objectives:</w:t>
        </w:r>
        <w:r>
          <w:t xml:space="preserve"> To assemble and independently verify an authentic Indian state-level dengue panel; to establish, under a strictly leakage-free design, how much genuine one-year-ahead skill is attainable and whether machine learning improves on elementary baselines; to quantify how far common design defects inflate apparent performance; and to test whether structural indicators explain the between-state burden landscape.</w:t>
        </w:r>
      </w:ins>
    </w:p>
    <w:p>
      <w:ins w:id="1003" w:author="Siddalingaiah H S" w:date="2026-08-29T00:00:00Z">
        <w:r>
          <w:rPr>
            <w:b/>
          </w:rPr>
          <w:t>Methods:</w:t>
        </w:r>
        <w:r>
          <w:t xml:space="preserve"> We compiled every observed annual state-level total released by India's National Centre for Vector Borne Diseases Control (NCVBDC) and archived by OpenDengue for 2015–2024, retaining only states with an observed value in all ten years; nothing was interpolated, imputed or reconstructed. Predictors for year </w:t>
        </w:r>
        <w:r>
          <w:rPr>
            <w:i/>
          </w:rPr>
          <w:t>t</w:t>
        </w:r>
        <w:r>
          <w:t xml:space="preserve"> used only information observable by 31 December </w:t>
        </w:r>
        <w:r>
          <w:rPr>
            <w:i/>
          </w:rPr>
          <w:t>t</w:t>
        </w:r>
        <w:r>
          <w:t>−1. Seven specifications — persistence, state climatology, a global annual mean, negative-binomial GLMs and gradient-boosting ensembles — were compared on identical expanding-window splits. We report pooled and within-state (state-mean-removed) R², out-of-fold permutation importance, and, for outbreak-year classification, discrimination alongside calibration, with all thresholds derived inside each training window.</w:t>
        </w:r>
      </w:ins>
    </w:p>
    <w:p>
      <w:ins w:id="1004" w:author="Siddalingaiah H S" w:date="2026-08-29T00:00:00Z">
        <w:r>
          <w:rPr>
            <w:b/>
          </w:rPr>
          <w:t>Results:</w:t>
        </w:r>
        <w:r>
          <w:t xml:space="preserve"> The panel comprises </w:t>
        </w:r>
        <w:r>
          <w:rPr>
            <w:b/>
          </w:rPr>
          <w:t>350 state-years across 35 states and union territories</w:t>
        </w:r>
        <w:r>
          <w:t xml:space="preserve">; all 124 state-years overlapping the independent NCVBDC bulletin matched </w:t>
        </w:r>
        <w:r>
          <w:rPr>
            <w:b/>
          </w:rPr>
          <w:t>exactly</w:t>
        </w:r>
        <w:r>
          <w:t>. No model beat elementary baselines: state climatology achieved the highest pooled R² (</w:t>
        </w:r>
        <w:r>
          <w:rPr>
            <w:b/>
          </w:rPr>
          <w:t>0.637</w:t>
        </w:r>
        <w:r>
          <w:t xml:space="preserve">), ahead of a negative-binomial GLM (0.607), gradient boosting (0.551) and persistence (0.550). </w:t>
        </w:r>
        <w:r>
          <w:rPr>
            <w:b/>
          </w:rPr>
          <w:t>Within-state R² was at or below zero for every model</w:t>
        </w:r>
        <w:r>
          <w:t xml:space="preserve"> (best −0.002; gradient boosting −0.239), showing that pooled skill reflects only the recovery of stable between-state differences, not anticipation of temporal change. Outbreak-year classification was uninformative (AUC 0.522; average precision 0.468 against a prevalence of 0.452; Brier 0.326, worse than the 0.248 non-informative baseline). Reintroducing an unshifted three-year rolling mean raised apparent R² to </w:t>
        </w:r>
        <w:r>
          <w:rPr>
            <w:b/>
          </w:rPr>
          <w:t>0.759</w:t>
        </w:r>
        <w:r>
          <w:t xml:space="preserve">. By contrast, incidence rose with urbanisation (ρ = </w:t>
        </w:r>
        <w:r>
          <w:rPr>
            <w:b/>
          </w:rPr>
          <w:t>0.635</w:t>
        </w:r>
        <w:r>
          <w:t xml:space="preserve">, p &lt; 0.001) and GDP per capita (ρ = </w:t>
        </w:r>
        <w:r>
          <w:rPr>
            <w:b/>
          </w:rPr>
          <w:t>0.609</w:t>
        </w:r>
        <w:r>
          <w:t>, p &lt; 0.001), the latter robust to adjustment for a surveillance-capacity proxy; the NITI Health Index showed no association (ρ = 0.159).</w:t>
        </w:r>
      </w:ins>
    </w:p>
    <w:p>
      <w:ins w:id="1005" w:author="Siddalingaiah H S" w:date="2026-08-29T00:00:00Z">
        <w:r>
          <w:rPr>
            <w:b/>
          </w:rPr>
          <w:t>Conclusions:</w:t>
        </w:r>
        <w:r>
          <w:t xml:space="preserve"> On authenticated Indian surveillance data, state-level dengue burden one year ahead is </w:t>
        </w:r>
        <w:r>
          <w:rPr>
            <w:b/>
          </w:rPr>
          <w:t>not</w:t>
        </w:r>
        <w:r>
          <w:t xml:space="preserve"> predictable beyond a state's own historical average, and reported accuracies well above this level should be treated as evidence of design leakage rather than epidemiological signal. Burden is instead patterned spatially, concentrating in more urbanised and economically developed states. Surveillance and vector-control investment should therefore be allocated on structural grounds rather than on short-horizon algorithmic forecasting at this resolution.</w:t>
        </w:r>
      </w:ins>
    </w:p>
    <w:p>
      <w:r>
        <w:t xml:space="preserve">Keywords: Dengue; </w:t>
      </w:r>
      <w:del w:id="1006" w:author="Siddalingaiah H S" w:date="2026-08-29T00:00:00Z">
        <w:r>
          <w:delText xml:space="preserve">Machine Learning; Gradient Boosting; Time-series cross-validation; </w:delText>
        </w:r>
      </w:del>
      <w:r>
        <w:t xml:space="preserve">India; </w:t>
      </w:r>
      <w:del w:id="1007" w:author="Siddalingaiah H S" w:date="2026-08-29T00:00:00Z">
        <w:r>
          <w:delText xml:space="preserve">NVBDCP; Outbreak prediction; </w:delText>
        </w:r>
      </w:del>
      <w:ins w:id="1008" w:author="Siddalingaiah H S" w:date="2026-08-29T00:00:00Z">
        <w:r>
          <w:t xml:space="preserve">Data leakage; Forecast evaluation; Benchmarking; Negative results; Surveillance data provenance; </w:t>
        </w:r>
      </w:ins>
      <w:r>
        <w:t xml:space="preserve">Public-health informatics </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Flaviviridae virus (DENV 1–4), is the most rapidly spreading mosquito-borne viral disease globally; the World Health Organization estimates a 30-fold rise in incidence over the past five decades, placing nearly half the </w:t>
      </w:r>
      <w:del w:id="1009" w:author="Siddalingaiah H S" w:date="2026-08-29T00:00:00Z">
        <w:r>
          <w:delText xml:space="preserve">world’s </w:delText>
        </w:r>
      </w:del>
      <w:ins w:id="1010" w:author="Siddalingaiah H S" w:date="2026-08-29T00:00:00Z">
        <w:r>
          <w:t xml:space="preserve">world's </w:t>
        </w:r>
      </w:ins>
      <w:r>
        <w:t xml:space="preserve">population at risk 1. India, with its tropical </w:t>
      </w:r>
      <w:del w:id="1011" w:author="Siddalingaiah H S" w:date="2026-08-29T00:00:00Z">
        <w:r>
          <w:delText xml:space="preserve">climate, dense </w:delText>
        </w:r>
      </w:del>
      <w:ins w:id="1012" w:author="Siddalingaiah H S" w:date="2026-08-29T00:00:00Z">
        <w:r>
          <w:t xml:space="preserve">climate </w:t>
        </w:r>
      </w:ins>
      <w:r>
        <w:t xml:space="preserve">and </w:t>
      </w:r>
      <w:ins w:id="1013" w:author="Siddalingaiah H S" w:date="2026-08-29T00:00:00Z">
        <w:r>
          <w:t xml:space="preserve">dense, </w:t>
        </w:r>
      </w:ins>
      <w:r>
        <w:t xml:space="preserve">rapidly urbanising population, bears a disproportionate </w:t>
      </w:r>
      <w:del w:id="1014" w:author="Siddalingaiah H S" w:date="2026-08-29T00:00:00Z">
        <w:r>
          <w:delText xml:space="preserve">share—an </w:delText>
        </w:r>
      </w:del>
      <w:ins w:id="1015" w:author="Siddalingaiah H S" w:date="2026-08-29T00:00:00Z">
        <w:r>
          <w:t xml:space="preserve">share — an </w:t>
        </w:r>
      </w:ins>
      <w:r>
        <w:t xml:space="preserve">estimated one-third of the global burden, likely underestimated by passive surveillance 2. Inter-epidemic intervals have narrowed in recent years, </w:t>
      </w:r>
      <w:del w:id="1016" w:author="Siddalingaiah H S" w:date="2026-08-29T00:00:00Z">
        <w:r>
          <w:delText xml:space="preserve">signalling a transition toward hyper-endemicity, </w:delText>
        </w:r>
      </w:del>
      <w:r>
        <w:t xml:space="preserve">while the economic cost runs into billions of dollars annually 3. </w:t>
      </w:r>
    </w:p>
    <w:p>
      <w:pPr>
        <w:pStyle w:val="Heading3"/>
      </w:pPr>
      <w:r>
        <w:t>1.2 Prediction Claims and Their Dependence on Design</w:t>
      </w:r>
    </w:p>
    <w:p>
      <w:ins w:id="1017" w:author="Siddalingaiah H S" w:date="2026-08-29T00:00:00Z">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ins>
    </w:p>
    <w:p>
      <w:ins w:id="1018" w:author="Siddalingaiah H S" w:date="2026-08-29T00:00:00Z">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ins>
    </w:p>
    <w:p>
      <w:ins w:id="1019" w:author="Siddalingaiah H S" w:date="2026-08-29T00:00:00Z">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ins>
    </w:p>
    <w:p>
      <w:pPr>
        <w:pStyle w:val="Heading3"/>
      </w:pPr>
      <w:r>
        <w:t>1.3 The Structural Vulnerability Hypothesis</w:t>
      </w:r>
    </w:p>
    <w:p>
      <w:ins w:id="1020" w:author="Siddalingaiah H S" w:date="2026-08-29T00:00:00Z">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ins>
    </w:p>
    <w:p>
      <w:pPr>
        <w:pStyle w:val="Heading3"/>
      </w:pPr>
      <w:r>
        <w:t>1.4 Objectives</w:t>
      </w:r>
    </w:p>
    <w:p>
      <w:ins w:id="1021" w:author="Siddalingaiah H S" w:date="2026-08-29T00:00:00Z">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ins>
    </w:p>
    <w:p>
      <w:pPr>
        <w:pStyle w:val="Heading1"/>
      </w:pPr>
      <w:r>
        <w:t>2. Methods</w:t>
      </w:r>
    </w:p>
    <w:p>
      <w:pPr>
        <w:pStyle w:val="Heading3"/>
      </w:pPr>
      <w:r>
        <w:t>2.1 Study Design and Reporting</w:t>
      </w:r>
    </w:p>
    <w:p>
      <w:ins w:id="1022" w:author="Siddalingaiah H S" w:date="2026-08-29T00:00:00Z">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ins>
    </w:p>
    <w:p>
      <w:pPr>
        <w:pStyle w:val="Heading3"/>
      </w:pPr>
      <w:r>
        <w:t>2.2 Data Provenance</w:t>
      </w:r>
    </w:p>
    <w:p>
      <w:ins w:id="1023" w:author="Siddalingaiah H S" w:date="2026-08-29T00:00:00Z">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ins>
    </w:p>
    <w:p>
      <w:ins w:id="1024" w:author="Siddalingaiah H S" w:date="2026-08-29T00:00:00Z">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ins>
    </w:p>
    <w:p>
      <w:pPr>
        <w:pStyle w:val="Heading3"/>
      </w:pPr>
      <w:r>
        <w:t>2.3 Eligibility and Exclusions</w:t>
      </w:r>
    </w:p>
    <w:p>
      <w:ins w:id="1025" w:author="Siddalingaiah H S" w:date="2026-08-29T00:00:00Z">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ins>
    </w:p>
    <w:p>
      <w:pPr>
        <w:pStyle w:val="Heading3"/>
      </w:pPr>
      <w:r>
        <w:t>2.4 Independent Reconciliation</w:t>
      </w:r>
    </w:p>
    <w:p>
      <w:ins w:id="1026" w:author="Siddalingaiah H S" w:date="2026-08-29T00:00:00Z">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ins>
    </w:p>
    <w:p>
      <w:pPr>
        <w:pStyle w:val="Heading3"/>
      </w:pPr>
      <w:r>
        <w:t>2.5 Structural Covariates</w:t>
      </w:r>
    </w:p>
    <w:p>
      <w:ins w:id="1027" w:author="Siddalingaiah H S" w:date="2026-08-29T00:00:00Z">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ins>
    </w:p>
    <w:p>
      <w:pPr>
        <w:pStyle w:val="Heading3"/>
      </w:pPr>
      <w:r>
        <w:t>2.6 Forecast Origin and Feature Construction</w:t>
      </w:r>
    </w:p>
    <w:p>
      <w:ins w:id="1028" w:author="Siddalingaiah H S" w:date="2026-08-29T00:00:00Z">
        <w:r>
          <w:t xml:space="preserve">The forecasting task is explicit: </w:t>
        </w:r>
        <w:r>
          <w:rPr>
            <w:b/>
          </w:rPr>
          <w:t xml:space="preserve">using only information observable up to 31 December of year </w:t>
        </w:r>
        <w:r>
          <w:rPr>
            <w:b/>
            <w:i/>
          </w:rPr>
          <w:t>t</w:t>
        </w:r>
        <w:r>
          <w:rPr>
            <w:b/>
          </w:rPr>
          <w:t xml:space="preserve">−1, predict the reported dengue case total of year </w:t>
        </w:r>
        <w:r>
          <w:rPr>
            <w:b/>
            <w:i/>
          </w:rPr>
          <w:t>t</w:t>
        </w:r>
        <w:r>
          <w:t xml:space="preserve">. Predictors comprise cases in years </w:t>
        </w:r>
        <w:r>
          <w:rPr>
            <w:i/>
          </w:rPr>
          <w:t>t</w:t>
        </w:r>
        <w:r>
          <w:t xml:space="preserve">−1 and </w:t>
        </w:r>
        <w:r>
          <w:rPr>
            <w:i/>
          </w:rPr>
          <w:t>t</w:t>
        </w:r>
        <w:r>
          <w:t xml:space="preserve">−2 (log-transformed), the year-on-year log growth rate between them, and the expanding mean and maximum of all prior years — each formed by lagging the outcome series </w:t>
        </w:r>
        <w:r>
          <w:rPr>
            <w:i/>
          </w:rPr>
          <w:t>before</w:t>
        </w:r>
        <w:r>
          <w:t xml:space="preserv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ins>
    </w:p>
    <w:p>
      <w:pPr>
        <w:pStyle w:val="Heading3"/>
      </w:pPr>
      <w:r>
        <w:t>2.7 Benchmarks, Validation and Metrics</w:t>
      </w:r>
    </w:p>
    <w:p>
      <w:ins w:id="1029" w:author="Siddalingaiah H S" w:date="2026-08-29T00:00:00Z">
        <w:r>
          <w:t xml:space="preserve">All models were evaluated on </w:t>
        </w:r>
        <w:r>
          <w:rPr>
            <w:b/>
          </w:rPr>
          <w:t>identical expanding-window splits</w:t>
        </w:r>
        <w:r>
          <w:t>: for each target year, training used every eligible state-year strictly before it. We compared seven specifications:</w:t>
        </w:r>
      </w:ins>
    </w:p>
    <w:p>
      <w:ins w:id="1030" w:author="Siddalingaiah H S" w:date="2026-08-29T00:00:00Z">
        <w:r>
          <w:t xml:space="preserve">1. </w:t>
        </w:r>
        <w:r>
          <w:rPr>
            <w:b/>
          </w:rPr>
          <w:t>Persistence</w:t>
        </w:r>
        <w:r>
          <w:t xml:space="preserve"> — the previous year's count.</w:t>
        </w:r>
      </w:ins>
    </w:p>
    <w:p>
      <w:ins w:id="1031" w:author="Siddalingaiah H S" w:date="2026-08-29T00:00:00Z">
        <w:r>
          <w:t xml:space="preserve">2. </w:t>
        </w:r>
        <w:r>
          <w:rPr>
            <w:b/>
          </w:rPr>
          <w:t>State climatology</w:t>
        </w:r>
        <w:r>
          <w:t xml:space="preserve"> — the state's mean count over the training window only.</w:t>
        </w:r>
      </w:ins>
    </w:p>
    <w:p>
      <w:ins w:id="1032" w:author="Siddalingaiah H S" w:date="2026-08-29T00:00:00Z">
        <w:r>
          <w:t xml:space="preserve">3. </w:t>
        </w:r>
        <w:r>
          <w:rPr>
            <w:b/>
          </w:rPr>
          <w:t>Global annual mean</w:t>
        </w:r>
        <w:r>
          <w:t xml:space="preserve"> — a single national constant.</w:t>
        </w:r>
      </w:ins>
    </w:p>
    <w:p>
      <w:ins w:id="1033" w:author="Siddalingaiah H S" w:date="2026-08-29T00:00:00Z">
        <w:r>
          <w:t xml:space="preserve">4. </w:t>
        </w:r>
        <w:r>
          <w:rPr>
            <w:b/>
          </w:rPr>
          <w:t>Negative-binomial GLM (history)</w:t>
        </w:r>
        <w:r>
          <w:t xml:space="preserve"> — log-lagged counts with a log-population offset.</w:t>
        </w:r>
      </w:ins>
    </w:p>
    <w:p>
      <w:ins w:id="1034" w:author="Siddalingaiah H S" w:date="2026-08-29T00:00:00Z">
        <w:r>
          <w:t xml:space="preserve">5. </w:t>
        </w:r>
        <w:r>
          <w:rPr>
            <w:b/>
          </w:rPr>
          <w:t>Negative-binomial GLM (full)</w:t>
        </w:r>
        <w:r>
          <w:t xml:space="preserve"> — as above plus structural covariates.</w:t>
        </w:r>
      </w:ins>
    </w:p>
    <w:p>
      <w:ins w:id="1035" w:author="Siddalingaiah H S" w:date="2026-08-29T00:00:00Z">
        <w:r>
          <w:t xml:space="preserve">6. </w:t>
        </w:r>
        <w:r>
          <w:rPr>
            <w:b/>
          </w:rPr>
          <w:t>Gradient boosting (history only)</w:t>
        </w:r>
        <w:r>
          <w:t xml:space="preserve"> </w:t>
        </w:r>
        <w:r>
          <w:rPr>
            <w:vertAlign w:val="superscript"/>
          </w:rPr>
          <w:t>12</w:t>
        </w:r>
        <w:r>
          <w:t xml:space="preserve"> — 300 trees, depth 2, learning rate 0.05, subsample 0.9.</w:t>
        </w:r>
      </w:ins>
    </w:p>
    <w:p>
      <w:ins w:id="1036" w:author="Siddalingaiah H S" w:date="2026-08-29T00:00:00Z">
        <w:r>
          <w:t xml:space="preserve">7. </w:t>
        </w:r>
        <w:r>
          <w:rPr>
            <w:b/>
          </w:rPr>
          <w:t>Gradient boosting (multi-modal)</w:t>
        </w:r>
        <w:r>
          <w:t xml:space="preserve"> — identical configuration on history plus structural covariates.</w:t>
        </w:r>
      </w:ins>
    </w:p>
    <w:p>
      <w:ins w:id="1037" w:author="Siddalingaiah H S" w:date="2026-08-29T00:00:00Z">
        <w:r>
          <w:t>Hyperparameters were fixed a priori rather than tuned against the evaluation folds. We report pooled R² on the log scale, MAE and RMSE on the case scale, and mean per-origin R².</w:t>
        </w:r>
      </w:ins>
    </w:p>
    <w:p>
      <w:ins w:id="1038" w:author="Siddalingaiah H S" w:date="2026-08-29T00:00:00Z">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ins>
    </w:p>
    <w:p>
      <w:pPr>
        <w:pStyle w:val="Heading3"/>
      </w:pPr>
      <w:r>
        <w:t>2.8 Outbreak-Year Classification</w:t>
      </w:r>
    </w:p>
    <w:p>
      <w:ins w:id="1039" w:author="Siddalingaiah H S" w:date="2026-08-29T00:00:00Z">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ins>
    </w:p>
    <w:p>
      <w:pPr>
        <w:pStyle w:val="Heading3"/>
      </w:pPr>
      <w:r>
        <w:t>2.9 Interpretability</w:t>
      </w:r>
    </w:p>
    <w:p>
      <w:ins w:id="1040" w:author="Siddalingaiah H S" w:date="2026-08-29T00:00:00Z">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ins>
    </w:p>
    <w:p>
      <w:pPr>
        <w:pStyle w:val="Heading3"/>
      </w:pPr>
      <w:r>
        <w:t>2.10 Between-State Associations</w:t>
      </w:r>
    </w:p>
    <w:p>
      <w:ins w:id="1041" w:author="Siddalingaiah H S" w:date="2026-08-29T00:00:00Z">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ins>
    </w:p>
    <w:p>
      <w:pPr>
        <w:pStyle w:val="Heading3"/>
      </w:pPr>
      <w:r>
        <w:t>2.11 Leakage Experiment</w:t>
      </w:r>
    </w:p>
    <w:p>
      <w:ins w:id="1042" w:author="Siddalingaiah H S" w:date="2026-08-29T00:00:00Z">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ins>
    </w:p>
    <w:p>
      <w:pPr>
        <w:pStyle w:val="Heading3"/>
      </w:pPr>
      <w:r>
        <w:t>2.12 Software and Reproducibility</w:t>
      </w:r>
    </w:p>
    <w:p>
      <w:ins w:id="1043" w:author="Siddalingaiah H S" w:date="2026-08-29T00:00:00Z">
        <w:r>
          <w:t xml:space="preserve">Analyses used Python 3 with scikit-learn, pandas, NumPy, SciPy, statsmodels, GeoPandas and Matplotlib. The analysis panel, the reconciliation table and the complete modelling, validation and figure code are openly available (see Availability of Data and Materials), and regenerate every number and figure reported here in a single pass from the archived public source files. Step-by-step reproduction instructions, together with checksums for every input, are given in </w:t>
        </w:r>
        <w:r>
          <w:rPr>
            <w:b/>
          </w:rPr>
          <w:t>Supplementary Table S6</w:t>
        </w:r>
        <w:r>
          <w:t>.</w:t>
        </w:r>
      </w:ins>
    </w:p>
    <w:p>
      <w:pPr>
        <w:pStyle w:val="Heading3"/>
      </w:pPr>
      <w:r>
        <w:t>2.13 Ethics</w:t>
      </w:r>
    </w:p>
    <w:p>
      <w:r>
        <w:t xml:space="preserve">The study used only aggregated, anonymised, publicly available state-level data and involved no individual participants; institutional ethics approval and consent were </w:t>
      </w:r>
      <w:del w:id="1044" w:author="Siddalingaiah H S" w:date="2026-08-29T00:00:00Z">
        <w:r>
          <w:delText xml:space="preserve">therefore </w:delText>
        </w:r>
      </w:del>
      <w:r>
        <w:t xml:space="preserve">not applicable. </w:t>
      </w:r>
    </w:p>
    <w:p>
      <w:pPr>
        <w:pStyle w:val="Heading1"/>
      </w:pPr>
      <w:r>
        <w:t>3. Results</w:t>
      </w:r>
    </w:p>
    <w:p>
      <w:pPr>
        <w:pStyle w:val="Heading3"/>
      </w:pPr>
      <w:r>
        <w:t>3.1 An Authenticated Panel</w:t>
      </w:r>
    </w:p>
    <w:p>
      <w:ins w:id="1045" w:author="Siddalingaiah H S" w:date="2026-08-29T00:00:00Z">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ins>
    </w:p>
    <w:p>
      <w:pPr>
        <w:pStyle w:val="Heading3"/>
      </w:pPr>
      <w:r>
        <w:t>3.2 No Model Outperforms Elementary Baselines</w:t>
      </w:r>
    </w:p>
    <w:p>
      <w:ins w:id="1046" w:author="Siddalingaiah H S" w:date="2026-08-29T00:00:00Z">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ins>
    </w:p>
    <w:p>
      <w:pPr>
        <w:pStyle w:val="Heading3"/>
      </w:pPr>
      <w:r>
        <w:t>3.3 Pooled Skill Is Entirely Between-State</w:t>
      </w:r>
    </w:p>
    <w:p>
      <w:ins w:id="1047" w:author="Siddalingaiah H S" w:date="2026-08-29T00:00:00Z">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ins>
    </w:p>
    <w:p>
      <w:ins w:id="1048" w:author="Siddalingaiah H S" w:date="2026-08-29T00:00:00Z">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ins>
    </w:p>
    <w:p>
      <w:ins w:id="1049" w:author="Siddalingaiah H S" w:date="2026-08-29T00:00:00Z">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ins>
    </w:p>
    <w:p>
      <w:pPr>
        <w:pStyle w:val="Heading3"/>
      </w:pPr>
      <w:r>
        <w:t>3.4 Where the Structure Is: Between-State Burden</w:t>
      </w:r>
    </w:p>
    <w:p>
      <w:ins w:id="1050" w:author="Siddalingaiah H S" w:date="2026-08-29T00:00:00Z">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ins>
    </w:p>
    <w:p>
      <w:ins w:id="1051" w:author="Siddalingaiah H S" w:date="2026-08-29T00:00:00Z">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ins>
    </w:p>
    <w:p>
      <w:ins w:id="1052" w:author="Siddalingaiah H S" w:date="2026-08-29T00:00:00Z">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ins>
    </w:p>
    <w:p>
      <w:pPr>
        <w:pStyle w:val="Heading3"/>
      </w:pPr>
      <w:r>
        <w:t>3.5 How Much Do Design Defects Inflate Performance?</w:t>
      </w:r>
    </w:p>
    <w:p>
      <w:ins w:id="1053" w:author="Siddalingaiah H S" w:date="2026-08-29T00:00:00Z">
        <w:r>
          <w:t>The leakage experiment quantifies the cost of the two defects most common in this literature (</w:t>
        </w:r>
        <w:r>
          <w:rPr>
            <w:b/>
          </w:rPr>
          <w:t>Table 4</w:t>
        </w:r>
        <w:r>
          <w:t xml:space="preserve">, </w:t>
        </w:r>
        <w:r>
          <w:rPr>
            <w:b/>
          </w:rPr>
          <w:t>Figure 7</w:t>
        </w:r>
        <w:r>
          <w:t>). Against the leakage-free benchmark of R² = 0.551:</w:t>
        </w:r>
      </w:ins>
    </w:p>
    <w:p>
      <w:pPr>
        <w:pStyle w:val="ListBullet"/>
      </w:pPr>
      <w:ins w:id="1054" w:author="Siddalingaiah H S" w:date="2026-08-29T00:00:00Z">
        <w:r>
          <w:t xml:space="preserve">Adding a </w:t>
        </w:r>
        <w:r>
          <w:rPr>
            <w:b/>
          </w:rPr>
          <w:t>three-year rolling mean computed without lagging the outcome</w:t>
        </w:r>
        <w:r>
          <w:t xml:space="preserve"> — so that the predictor contains the target year — raised apparent R² to </w:t>
        </w:r>
        <w:r>
          <w:rPr>
            <w:b/>
          </w:rPr>
          <w:t>0.759</w:t>
        </w:r>
        <w:r>
          <w:t xml:space="preserve">, an inflation of </w:t>
        </w:r>
        <w:r>
          <w:rPr>
            <w:b/>
          </w:rPr>
          <w:t>+0.209</w:t>
        </w:r>
        <w:r>
          <w:t>.</w:t>
        </w:r>
      </w:ins>
    </w:p>
    <w:p>
      <w:pPr>
        <w:pStyle w:val="ListBullet"/>
      </w:pPr>
      <w:ins w:id="1055" w:author="Siddalingaiah H S" w:date="2026-08-29T00:00:00Z">
        <w:r>
          <w:t xml:space="preserve">Replacing temporal splits with </w:t>
        </w:r>
        <w:r>
          <w:rPr>
            <w:b/>
          </w:rPr>
          <w:t>random-split cross-validation</w:t>
        </w:r>
        <w:r>
          <w:t xml:space="preserve"> raised it to </w:t>
        </w:r>
        <w:r>
          <w:rPr>
            <w:b/>
          </w:rPr>
          <w:t>0.626</w:t>
        </w:r>
        <w:r>
          <w:t xml:space="preserve">, an inflation of </w:t>
        </w:r>
        <w:r>
          <w:rPr>
            <w:b/>
          </w:rPr>
          <w:t>+0.075</w:t>
        </w:r>
        <w:r>
          <w:t>.</w:t>
        </w:r>
      </w:ins>
    </w:p>
    <w:p>
      <w:pPr>
        <w:pStyle w:val="ListBullet"/>
      </w:pPr>
      <w:ins w:id="1056" w:author="Siddalingaiah H S" w:date="2026-08-29T00:00:00Z">
        <w:r>
          <w:t xml:space="preserve">Defining outbreak thresholds on the </w:t>
        </w:r>
        <w:r>
          <w:rPr>
            <w:b/>
          </w:rPr>
          <w:t>full panel</w:t>
        </w:r>
        <w:r>
          <w:t xml:space="preserve"> rather than the expanding window raised AUC from 0.522 to 0.544.</w:t>
        </w:r>
      </w:ins>
    </w:p>
    <w:p>
      <w:ins w:id="1057" w:author="Siddalingaiah H S" w:date="2026-08-29T00:00:00Z">
        <w:r>
          <w:t>These are conservative estimates: the defects were introduced one at a time on annual data. At monthly resolution, where autocorrelation is far stronger and a rolling window overlaps the target far more heavily, the same defects would compound substantially.</w:t>
        </w:r>
      </w:ins>
    </w:p>
    <w:p>
      <w:pPr>
        <w:pStyle w:val="Heading1"/>
      </w:pPr>
      <w:r>
        <w:t>4. Discussion</w:t>
      </w:r>
    </w:p>
    <w:p>
      <w:pPr>
        <w:pStyle w:val="Heading3"/>
      </w:pPr>
      <w:r>
        <w:t>4.1 Principal Findings</w:t>
      </w:r>
    </w:p>
    <w:p>
      <w:ins w:id="1058" w:author="Siddalingaiah H S" w:date="2026-08-29T00:00:00Z">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ins>
    </w:p>
    <w:p>
      <w:ins w:id="1059" w:author="Siddalingaiah H S" w:date="2026-08-29T00:00:00Z">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ins>
    </w:p>
    <w:p>
      <w:pPr>
        <w:pStyle w:val="Heading3"/>
      </w:pPr>
      <w:r>
        <w:t>4.2 Reconciling the Two Results</w:t>
      </w:r>
    </w:p>
    <w:p>
      <w:ins w:id="1060" w:author="Siddalingaiah H S" w:date="2026-08-29T00:00:00Z">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ins>
    </w:p>
    <w:p>
      <w:ins w:id="1061" w:author="Siddalingaiah H S" w:date="2026-08-29T00:00:00Z">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ins>
    </w:p>
    <w:p>
      <w:pPr>
        <w:pStyle w:val="Heading3"/>
      </w:pPr>
      <w:r>
        <w:t>4.3 Implications for the Dengue Prediction Literature</w:t>
      </w:r>
    </w:p>
    <w:p>
      <w:ins w:id="1062" w:author="Siddalingaiah H S" w:date="2026-08-29T00:00:00Z">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ins>
    </w:p>
    <w:p>
      <w:pPr>
        <w:pStyle w:val="Heading3"/>
      </w:pPr>
      <w:r>
        <w:t>4.4 Relation to Prior Work</w:t>
      </w:r>
    </w:p>
    <w:p>
      <w:ins w:id="1063" w:author="Siddalingaiah H S" w:date="2026-08-29T00:00:00Z">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ins>
    </w:p>
    <w:p>
      <w:pPr>
        <w:pStyle w:val="Heading3"/>
      </w:pPr>
      <w:r>
        <w:t>4.5 Strengths and Limitations</w:t>
      </w:r>
    </w:p>
    <w:p>
      <w:ins w:id="1064" w:author="Siddalingaiah H S" w:date="2026-08-29T00:00:00Z">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ins>
    </w:p>
    <w:p>
      <w:ins w:id="1065" w:author="Siddalingaiah H S" w:date="2026-08-29T00:00:00Z">
        <w:r>
          <w:t>Limitations are substantial and we state them plainly.</w:t>
        </w:r>
      </w:ins>
    </w:p>
    <w:p>
      <w:ins w:id="1066" w:author="Siddalingaiah H S" w:date="2026-08-29T00:00:00Z">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ins>
    </w:p>
    <w:p>
      <w:ins w:id="1067" w:author="Siddalingaiah H S" w:date="2026-08-29T00:00:00Z">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ins>
    </w:p>
    <w:p>
      <w:ins w:id="1068" w:author="Siddalingaiah H S" w:date="2026-08-29T00:00:00Z">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ins>
    </w:p>
    <w:p>
      <w:ins w:id="1069" w:author="Siddalingaiah H S" w:date="2026-08-29T00:00:00Z">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ins>
    </w:p>
    <w:p>
      <w:ins w:id="1070" w:author="Siddalingaiah H S" w:date="2026-08-29T00:00:00Z">
        <w:r>
          <w:t xml:space="preserve">5. </w:t>
        </w:r>
        <w:r>
          <w:rPr>
            <w:b/>
          </w:rPr>
          <w:t>Ecological design.</w:t>
        </w:r>
        <w:r>
          <w:t xml:space="preserve"> No individual-level inference is possible, and time-invariant covariates cannot capture within-period change.</w:t>
        </w:r>
      </w:ins>
    </w:p>
    <w:p>
      <w:ins w:id="1071" w:author="Siddalingaiah H S" w:date="2026-08-29T00:00:00Z">
        <w:r>
          <w:t xml:space="preserve">6. </w:t>
        </w:r>
        <w:r>
          <w:rPr>
            <w:b/>
          </w:rPr>
          <w:t>Selection.</w:t>
        </w:r>
        <w:r>
          <w:t xml:space="preserve"> Requiring ten complete annual returns excludes one state and may modestly favour better-reporting jurisdictions.</w:t>
        </w:r>
      </w:ins>
    </w:p>
    <w:p>
      <w:pPr>
        <w:pStyle w:val="Heading1"/>
      </w:pPr>
      <w:r>
        <w:t>5. Conclusions</w:t>
      </w:r>
    </w:p>
    <w:p>
      <w:ins w:id="1072" w:author="Siddalingaiah H S" w:date="2026-08-29T00:00:00Z">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ins>
    </w:p>
    <w:p>
      <w:pPr>
        <w:pStyle w:val="Heading1"/>
      </w:pPr>
      <w:r>
        <w:t>6. Tables</w:t>
      </w:r>
    </w:p>
    <w:p>
      <w:pPr>
        <w:keepNext/>
        <w:spacing w:before="160"/>
      </w:pPr>
      <w:ins w:id="1073" w:author="Siddalingaiah H S" w:date="2026-08-29T00:00:00Z">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val="true"/>
        </w:trPr>
        <w:tc>
          <w:tcPr>
            <w:tcW w:type="dxa" w:w="1680"/>
          </w:tcPr>
          <w:p>
            <w:pPr>
              <w:jc w:val="left"/>
            </w:pPr>
            <w:r/>
            <w:r>
              <w:rPr>
                <w:b/>
                <w:sz w:val="18"/>
              </w:rPr>
              <w:t>Model</w:t>
            </w:r>
          </w:p>
        </w:tc>
        <w:tc>
          <w:tcPr>
            <w:tcW w:type="dxa" w:w="1680"/>
          </w:tcPr>
          <w:p>
            <w:pPr>
              <w:jc w:val="center"/>
            </w:pPr>
            <w:r/>
            <w:r>
              <w:rPr>
                <w:b/>
                <w:sz w:val="18"/>
              </w:rPr>
              <w:t>Pooled R² (log scale)</w:t>
            </w:r>
          </w:p>
        </w:tc>
        <w:tc>
          <w:tcPr>
            <w:tcW w:type="dxa" w:w="1680"/>
          </w:tcPr>
          <w:p>
            <w:pPr>
              <w:jc w:val="center"/>
            </w:pPr>
            <w:r/>
            <w:r>
              <w:rPr>
                <w:b/>
                <w:sz w:val="18"/>
              </w:rPr>
              <w:t>Within-state R²</w:t>
            </w:r>
          </w:p>
        </w:tc>
        <w:tc>
          <w:tcPr>
            <w:tcW w:type="dxa" w:w="1680"/>
          </w:tcPr>
          <w:p>
            <w:pPr>
              <w:jc w:val="center"/>
            </w:pPr>
            <w:r/>
            <w:r>
              <w:rPr>
                <w:b/>
                <w:sz w:val="18"/>
              </w:rPr>
              <w:t>MAE (log scale)</w:t>
            </w:r>
          </w:p>
        </w:tc>
        <w:tc>
          <w:tcPr>
            <w:tcW w:type="dxa" w:w="1680"/>
          </w:tcPr>
          <w:p>
            <w:pPr>
              <w:jc w:val="center"/>
            </w:pPr>
            <w:r/>
            <w:r>
              <w:rPr>
                <w:b/>
                <w:sz w:val="18"/>
              </w:rPr>
              <w:t>MAE (cases)</w:t>
            </w:r>
          </w:p>
        </w:tc>
        <w:tc>
          <w:tcPr>
            <w:tcW w:type="dxa" w:w="1680"/>
          </w:tcPr>
          <w:p>
            <w:pPr>
              <w:jc w:val="center"/>
            </w:pPr>
            <w:r/>
            <w:r>
              <w:rPr>
                <w:b/>
                <w:sz w:val="18"/>
              </w:rPr>
              <w:t>RMSE (cases)</w:t>
            </w:r>
          </w:p>
        </w:tc>
      </w:tr>
      <w:tr>
        <w:trPr>
          <w:cantSplit w:val="true"/>
        </w:trPr>
        <w:tc>
          <w:tcPr>
            <w:tcW w:type="dxa" w:w="1680"/>
          </w:tcPr>
          <w:p>
            <w:pPr>
              <w:jc w:val="left"/>
            </w:pPr>
            <w:r>
              <w:rPr>
                <w:sz w:val="18"/>
              </w:rPr>
            </w:r>
            <w:r>
              <w:rPr>
                <w:sz w:val="18"/>
              </w:rPr>
              <w:t>State climatology (training mean)</w:t>
            </w:r>
          </w:p>
        </w:tc>
        <w:tc>
          <w:tcPr>
            <w:tcW w:type="dxa" w:w="1680"/>
          </w:tcPr>
          <w:p>
            <w:pPr>
              <w:jc w:val="center"/>
            </w:pPr>
            <w:r>
              <w:rPr>
                <w:sz w:val="18"/>
              </w:rPr>
            </w:r>
            <w:r>
              <w:rPr>
                <w:b/>
                <w:sz w:val="18"/>
              </w:rPr>
              <w:t>0.637</w:t>
            </w:r>
          </w:p>
        </w:tc>
        <w:tc>
          <w:tcPr>
            <w:tcW w:type="dxa" w:w="1680"/>
          </w:tcPr>
          <w:p>
            <w:pPr>
              <w:jc w:val="center"/>
            </w:pPr>
            <w:r>
              <w:rPr>
                <w:sz w:val="18"/>
              </w:rPr>
            </w:r>
            <w:r>
              <w:rPr>
                <w:sz w:val="18"/>
              </w:rPr>
              <w:t>−0.002</w:t>
            </w:r>
          </w:p>
        </w:tc>
        <w:tc>
          <w:tcPr>
            <w:tcW w:type="dxa" w:w="1680"/>
          </w:tcPr>
          <w:p>
            <w:pPr>
              <w:jc w:val="center"/>
            </w:pPr>
            <w:r>
              <w:rPr>
                <w:sz w:val="18"/>
              </w:rPr>
            </w:r>
            <w:r>
              <w:rPr>
                <w:sz w:val="18"/>
              </w:rPr>
              <w:t>0.989</w:t>
            </w:r>
          </w:p>
        </w:tc>
        <w:tc>
          <w:tcPr>
            <w:tcW w:type="dxa" w:w="1680"/>
          </w:tcPr>
          <w:p>
            <w:pPr>
              <w:jc w:val="center"/>
            </w:pPr>
            <w:r>
              <w:rPr>
                <w:sz w:val="18"/>
              </w:rPr>
            </w:r>
            <w:r>
              <w:rPr>
                <w:sz w:val="18"/>
              </w:rPr>
              <w:t>2 830</w:t>
            </w:r>
          </w:p>
        </w:tc>
        <w:tc>
          <w:tcPr>
            <w:tcW w:type="dxa" w:w="1680"/>
          </w:tcPr>
          <w:p>
            <w:pPr>
              <w:jc w:val="center"/>
            </w:pPr>
            <w:r>
              <w:rPr>
                <w:sz w:val="18"/>
              </w:rPr>
            </w:r>
            <w:r>
              <w:rPr>
                <w:sz w:val="18"/>
              </w:rPr>
              <w:t>5 092</w:t>
            </w:r>
          </w:p>
        </w:tc>
      </w:tr>
      <w:tr>
        <w:trPr>
          <w:cantSplit w:val="true"/>
        </w:trPr>
        <w:tc>
          <w:tcPr>
            <w:tcW w:type="dxa" w:w="1680"/>
          </w:tcPr>
          <w:p>
            <w:pPr>
              <w:jc w:val="left"/>
            </w:pPr>
            <w:r>
              <w:rPr>
                <w:sz w:val="18"/>
              </w:rPr>
            </w:r>
            <w:r>
              <w:rPr>
                <w:sz w:val="18"/>
              </w:rPr>
              <w:t>Negative-binomial GLM (full)</w:t>
            </w:r>
          </w:p>
        </w:tc>
        <w:tc>
          <w:tcPr>
            <w:tcW w:type="dxa" w:w="1680"/>
          </w:tcPr>
          <w:p>
            <w:pPr>
              <w:jc w:val="center"/>
            </w:pPr>
            <w:r>
              <w:rPr>
                <w:sz w:val="18"/>
              </w:rPr>
            </w:r>
            <w:r>
              <w:rPr>
                <w:sz w:val="18"/>
              </w:rPr>
              <w:t>0.607</w:t>
            </w:r>
          </w:p>
        </w:tc>
        <w:tc>
          <w:tcPr>
            <w:tcW w:type="dxa" w:w="1680"/>
          </w:tcPr>
          <w:p>
            <w:pPr>
              <w:jc w:val="center"/>
            </w:pPr>
            <w:r>
              <w:rPr>
                <w:sz w:val="18"/>
              </w:rPr>
            </w:r>
            <w:r>
              <w:rPr>
                <w:sz w:val="18"/>
              </w:rPr>
              <w:t>−0.084</w:t>
            </w:r>
          </w:p>
        </w:tc>
        <w:tc>
          <w:tcPr>
            <w:tcW w:type="dxa" w:w="1680"/>
          </w:tcPr>
          <w:p>
            <w:pPr>
              <w:jc w:val="center"/>
            </w:pPr>
            <w:r>
              <w:rPr>
                <w:sz w:val="18"/>
              </w:rPr>
            </w:r>
            <w:r>
              <w:rPr>
                <w:sz w:val="18"/>
              </w:rPr>
              <w:t>1.055</w:t>
            </w:r>
          </w:p>
        </w:tc>
        <w:tc>
          <w:tcPr>
            <w:tcW w:type="dxa" w:w="1680"/>
          </w:tcPr>
          <w:p>
            <w:pPr>
              <w:jc w:val="center"/>
            </w:pPr>
            <w:r>
              <w:rPr>
                <w:sz w:val="18"/>
              </w:rPr>
            </w:r>
            <w:r>
              <w:rPr>
                <w:sz w:val="18"/>
              </w:rPr>
              <w:t>3 110</w:t>
            </w:r>
          </w:p>
        </w:tc>
        <w:tc>
          <w:tcPr>
            <w:tcW w:type="dxa" w:w="1680"/>
          </w:tcPr>
          <w:p>
            <w:pPr>
              <w:jc w:val="center"/>
            </w:pPr>
            <w:r>
              <w:rPr>
                <w:sz w:val="18"/>
              </w:rPr>
            </w:r>
            <w:r>
              <w:rPr>
                <w:sz w:val="18"/>
              </w:rPr>
              <w:t>5 721</w:t>
            </w:r>
          </w:p>
        </w:tc>
      </w:tr>
      <w:tr>
        <w:trPr>
          <w:cantSplit w:val="true"/>
        </w:trPr>
        <w:tc>
          <w:tcPr>
            <w:tcW w:type="dxa" w:w="1680"/>
          </w:tcPr>
          <w:p>
            <w:pPr>
              <w:jc w:val="left"/>
            </w:pPr>
            <w:r>
              <w:rPr>
                <w:sz w:val="18"/>
              </w:rPr>
            </w:r>
            <w:r>
              <w:rPr>
                <w:sz w:val="18"/>
              </w:rPr>
              <w:t>Gradient boosting (multi-modal)</w:t>
            </w:r>
          </w:p>
        </w:tc>
        <w:tc>
          <w:tcPr>
            <w:tcW w:type="dxa" w:w="1680"/>
          </w:tcPr>
          <w:p>
            <w:pPr>
              <w:jc w:val="center"/>
            </w:pPr>
            <w:r>
              <w:rPr>
                <w:sz w:val="18"/>
              </w:rPr>
            </w:r>
            <w:r>
              <w:rPr>
                <w:sz w:val="18"/>
              </w:rPr>
              <w:t>0.551</w:t>
            </w:r>
          </w:p>
        </w:tc>
        <w:tc>
          <w:tcPr>
            <w:tcW w:type="dxa" w:w="1680"/>
          </w:tcPr>
          <w:p>
            <w:pPr>
              <w:jc w:val="center"/>
            </w:pPr>
            <w:r>
              <w:rPr>
                <w:sz w:val="18"/>
              </w:rPr>
            </w:r>
            <w:r>
              <w:rPr>
                <w:sz w:val="18"/>
              </w:rPr>
              <w:t>−0.239</w:t>
            </w:r>
          </w:p>
        </w:tc>
        <w:tc>
          <w:tcPr>
            <w:tcW w:type="dxa" w:w="1680"/>
          </w:tcPr>
          <w:p>
            <w:pPr>
              <w:jc w:val="center"/>
            </w:pPr>
            <w:r>
              <w:rPr>
                <w:sz w:val="18"/>
              </w:rPr>
            </w:r>
            <w:r>
              <w:rPr>
                <w:sz w:val="18"/>
              </w:rPr>
              <w:t>1.149</w:t>
            </w:r>
          </w:p>
        </w:tc>
        <w:tc>
          <w:tcPr>
            <w:tcW w:type="dxa" w:w="1680"/>
          </w:tcPr>
          <w:p>
            <w:pPr>
              <w:jc w:val="center"/>
            </w:pPr>
            <w:r>
              <w:rPr>
                <w:sz w:val="18"/>
              </w:rPr>
            </w:r>
            <w:r>
              <w:rPr>
                <w:sz w:val="18"/>
              </w:rPr>
              <w:t>3 052</w:t>
            </w:r>
          </w:p>
        </w:tc>
        <w:tc>
          <w:tcPr>
            <w:tcW w:type="dxa" w:w="1680"/>
          </w:tcPr>
          <w:p>
            <w:pPr>
              <w:jc w:val="center"/>
            </w:pPr>
            <w:r>
              <w:rPr>
                <w:sz w:val="18"/>
              </w:rPr>
            </w:r>
            <w:r>
              <w:rPr>
                <w:sz w:val="18"/>
              </w:rPr>
              <w:t>5 485</w:t>
            </w:r>
          </w:p>
        </w:tc>
      </w:tr>
      <w:tr>
        <w:trPr>
          <w:cantSplit w:val="true"/>
        </w:trPr>
        <w:tc>
          <w:tcPr>
            <w:tcW w:type="dxa" w:w="1680"/>
          </w:tcPr>
          <w:p>
            <w:pPr>
              <w:jc w:val="left"/>
            </w:pPr>
            <w:r>
              <w:rPr>
                <w:sz w:val="18"/>
              </w:rPr>
            </w:r>
            <w:r>
              <w:rPr>
                <w:sz w:val="18"/>
              </w:rPr>
              <w:t>Persistence (previous year)</w:t>
            </w:r>
          </w:p>
        </w:tc>
        <w:tc>
          <w:tcPr>
            <w:tcW w:type="dxa" w:w="1680"/>
          </w:tcPr>
          <w:p>
            <w:pPr>
              <w:jc w:val="center"/>
            </w:pPr>
            <w:r>
              <w:rPr>
                <w:sz w:val="18"/>
              </w:rPr>
            </w:r>
            <w:r>
              <w:rPr>
                <w:sz w:val="18"/>
              </w:rPr>
              <w:t>0.550</w:t>
            </w:r>
          </w:p>
        </w:tc>
        <w:tc>
          <w:tcPr>
            <w:tcW w:type="dxa" w:w="1680"/>
          </w:tcPr>
          <w:p>
            <w:pPr>
              <w:jc w:val="center"/>
            </w:pPr>
            <w:r>
              <w:rPr>
                <w:sz w:val="18"/>
              </w:rPr>
            </w:r>
            <w:r>
              <w:rPr>
                <w:sz w:val="18"/>
              </w:rPr>
              <w:t>−0.241</w:t>
            </w:r>
          </w:p>
        </w:tc>
        <w:tc>
          <w:tcPr>
            <w:tcW w:type="dxa" w:w="1680"/>
          </w:tcPr>
          <w:p>
            <w:pPr>
              <w:jc w:val="center"/>
            </w:pPr>
            <w:r>
              <w:rPr>
                <w:sz w:val="18"/>
              </w:rPr>
            </w:r>
            <w:r>
              <w:rPr>
                <w:sz w:val="18"/>
              </w:rPr>
              <w:t>1.109</w:t>
            </w:r>
          </w:p>
        </w:tc>
        <w:tc>
          <w:tcPr>
            <w:tcW w:type="dxa" w:w="1680"/>
          </w:tcPr>
          <w:p>
            <w:pPr>
              <w:jc w:val="center"/>
            </w:pPr>
            <w:r>
              <w:rPr>
                <w:sz w:val="18"/>
              </w:rPr>
            </w:r>
            <w:r>
              <w:rPr>
                <w:sz w:val="18"/>
              </w:rPr>
              <w:t>3 081</w:t>
            </w:r>
          </w:p>
        </w:tc>
        <w:tc>
          <w:tcPr>
            <w:tcW w:type="dxa" w:w="1680"/>
          </w:tcPr>
          <w:p>
            <w:pPr>
              <w:jc w:val="center"/>
            </w:pPr>
            <w:r>
              <w:rPr>
                <w:sz w:val="18"/>
              </w:rPr>
            </w:r>
            <w:r>
              <w:rPr>
                <w:sz w:val="18"/>
              </w:rPr>
              <w:t>5 531</w:t>
            </w:r>
          </w:p>
        </w:tc>
      </w:tr>
      <w:tr>
        <w:trPr>
          <w:cantSplit w:val="true"/>
        </w:trPr>
        <w:tc>
          <w:tcPr>
            <w:tcW w:type="dxa" w:w="1680"/>
          </w:tcPr>
          <w:p>
            <w:pPr>
              <w:jc w:val="left"/>
            </w:pPr>
            <w:r>
              <w:rPr>
                <w:sz w:val="18"/>
              </w:rPr>
            </w:r>
            <w:r>
              <w:rPr>
                <w:sz w:val="18"/>
              </w:rPr>
              <w:t>Gradient boosting (history only)</w:t>
            </w:r>
          </w:p>
        </w:tc>
        <w:tc>
          <w:tcPr>
            <w:tcW w:type="dxa" w:w="1680"/>
          </w:tcPr>
          <w:p>
            <w:pPr>
              <w:jc w:val="center"/>
            </w:pPr>
            <w:r>
              <w:rPr>
                <w:sz w:val="18"/>
              </w:rPr>
            </w:r>
            <w:r>
              <w:rPr>
                <w:sz w:val="18"/>
              </w:rPr>
              <w:t>0.488</w:t>
            </w:r>
          </w:p>
        </w:tc>
        <w:tc>
          <w:tcPr>
            <w:tcW w:type="dxa" w:w="1680"/>
          </w:tcPr>
          <w:p>
            <w:pPr>
              <w:jc w:val="center"/>
            </w:pPr>
            <w:r>
              <w:rPr>
                <w:sz w:val="18"/>
              </w:rPr>
            </w:r>
            <w:r>
              <w:rPr>
                <w:sz w:val="18"/>
              </w:rPr>
              <w:t>−0.413</w:t>
            </w:r>
          </w:p>
        </w:tc>
        <w:tc>
          <w:tcPr>
            <w:tcW w:type="dxa" w:w="1680"/>
          </w:tcPr>
          <w:p>
            <w:pPr>
              <w:jc w:val="center"/>
            </w:pPr>
            <w:r>
              <w:rPr>
                <w:sz w:val="18"/>
              </w:rPr>
            </w:r>
            <w:r>
              <w:rPr>
                <w:sz w:val="18"/>
              </w:rPr>
              <w:t>1.223</w:t>
            </w:r>
          </w:p>
        </w:tc>
        <w:tc>
          <w:tcPr>
            <w:tcW w:type="dxa" w:w="1680"/>
          </w:tcPr>
          <w:p>
            <w:pPr>
              <w:jc w:val="center"/>
            </w:pPr>
            <w:r>
              <w:rPr>
                <w:sz w:val="18"/>
              </w:rPr>
            </w:r>
            <w:r>
              <w:rPr>
                <w:sz w:val="18"/>
              </w:rPr>
              <w:t>3 223</w:t>
            </w:r>
          </w:p>
        </w:tc>
        <w:tc>
          <w:tcPr>
            <w:tcW w:type="dxa" w:w="1680"/>
          </w:tcPr>
          <w:p>
            <w:pPr>
              <w:jc w:val="center"/>
            </w:pPr>
            <w:r>
              <w:rPr>
                <w:sz w:val="18"/>
              </w:rPr>
            </w:r>
            <w:r>
              <w:rPr>
                <w:sz w:val="18"/>
              </w:rPr>
              <w:t>5 838</w:t>
            </w:r>
          </w:p>
        </w:tc>
      </w:tr>
      <w:tr>
        <w:trPr>
          <w:cantSplit w:val="true"/>
        </w:trPr>
        <w:tc>
          <w:tcPr>
            <w:tcW w:type="dxa" w:w="1680"/>
          </w:tcPr>
          <w:p>
            <w:pPr>
              <w:jc w:val="left"/>
            </w:pPr>
            <w:r>
              <w:rPr>
                <w:sz w:val="18"/>
              </w:rPr>
            </w:r>
            <w:r>
              <w:rPr>
                <w:sz w:val="18"/>
              </w:rPr>
              <w:t>Negative-binomial GLM (history)</w:t>
            </w:r>
          </w:p>
        </w:tc>
        <w:tc>
          <w:tcPr>
            <w:tcW w:type="dxa" w:w="1680"/>
          </w:tcPr>
          <w:p>
            <w:pPr>
              <w:jc w:val="center"/>
            </w:pPr>
            <w:r>
              <w:rPr>
                <w:sz w:val="18"/>
              </w:rPr>
            </w:r>
            <w:r>
              <w:rPr>
                <w:sz w:val="18"/>
              </w:rPr>
              <w:t>0.292</w:t>
            </w:r>
          </w:p>
        </w:tc>
        <w:tc>
          <w:tcPr>
            <w:tcW w:type="dxa" w:w="1680"/>
          </w:tcPr>
          <w:p>
            <w:pPr>
              <w:jc w:val="center"/>
            </w:pPr>
            <w:r>
              <w:rPr>
                <w:sz w:val="18"/>
              </w:rPr>
            </w:r>
            <w:r>
              <w:rPr>
                <w:sz w:val="18"/>
              </w:rPr>
              <w:t>−0.953</w:t>
            </w:r>
          </w:p>
        </w:tc>
        <w:tc>
          <w:tcPr>
            <w:tcW w:type="dxa" w:w="1680"/>
          </w:tcPr>
          <w:p>
            <w:pPr>
              <w:jc w:val="center"/>
            </w:pPr>
            <w:r>
              <w:rPr>
                <w:sz w:val="18"/>
              </w:rPr>
            </w:r>
            <w:r>
              <w:rPr>
                <w:sz w:val="18"/>
              </w:rPr>
              <w:t>1.498</w:t>
            </w:r>
          </w:p>
        </w:tc>
        <w:tc>
          <w:tcPr>
            <w:tcW w:type="dxa" w:w="1680"/>
          </w:tcPr>
          <w:p>
            <w:pPr>
              <w:jc w:val="center"/>
            </w:pPr>
            <w:r>
              <w:rPr>
                <w:sz w:val="18"/>
              </w:rPr>
            </w:r>
            <w:r>
              <w:rPr>
                <w:sz w:val="18"/>
              </w:rPr>
              <w:t>8 525</w:t>
            </w:r>
          </w:p>
        </w:tc>
        <w:tc>
          <w:tcPr>
            <w:tcW w:type="dxa" w:w="1680"/>
          </w:tcPr>
          <w:p>
            <w:pPr>
              <w:jc w:val="center"/>
            </w:pPr>
            <w:r>
              <w:rPr>
                <w:sz w:val="18"/>
              </w:rPr>
            </w:r>
            <w:r>
              <w:rPr>
                <w:sz w:val="18"/>
              </w:rPr>
              <w:t>16 499</w:t>
            </w:r>
          </w:p>
        </w:tc>
      </w:tr>
      <w:tr>
        <w:trPr>
          <w:cantSplit w:val="true"/>
        </w:trPr>
        <w:tc>
          <w:tcPr>
            <w:tcW w:type="dxa" w:w="1680"/>
          </w:tcPr>
          <w:p>
            <w:pPr>
              <w:jc w:val="left"/>
            </w:pPr>
            <w:r>
              <w:rPr>
                <w:sz w:val="18"/>
              </w:rPr>
            </w:r>
            <w:r>
              <w:rPr>
                <w:sz w:val="18"/>
              </w:rPr>
              <w:t>Global annual mean</w:t>
            </w:r>
          </w:p>
        </w:tc>
        <w:tc>
          <w:tcPr>
            <w:tcW w:type="dxa" w:w="1680"/>
          </w:tcPr>
          <w:p>
            <w:pPr>
              <w:jc w:val="center"/>
            </w:pPr>
            <w:r>
              <w:rPr>
                <w:sz w:val="18"/>
              </w:rPr>
            </w:r>
            <w:r>
              <w:rPr>
                <w:sz w:val="18"/>
              </w:rPr>
              <w:t>−0.306</w:t>
            </w:r>
          </w:p>
        </w:tc>
        <w:tc>
          <w:tcPr>
            <w:tcW w:type="dxa" w:w="1680"/>
          </w:tcPr>
          <w:p>
            <w:pPr>
              <w:jc w:val="center"/>
            </w:pPr>
            <w:r>
              <w:rPr>
                <w:sz w:val="18"/>
              </w:rPr>
            </w:r>
            <w:r>
              <w:rPr>
                <w:sz w:val="18"/>
              </w:rPr>
              <w:t>−2.601</w:t>
            </w:r>
          </w:p>
        </w:tc>
        <w:tc>
          <w:tcPr>
            <w:tcW w:type="dxa" w:w="1680"/>
          </w:tcPr>
          <w:p>
            <w:pPr>
              <w:jc w:val="center"/>
            </w:pPr>
            <w:r>
              <w:rPr>
                <w:sz w:val="18"/>
              </w:rPr>
            </w:r>
            <w:r>
              <w:rPr>
                <w:sz w:val="18"/>
              </w:rPr>
              <w:t>1.934</w:t>
            </w:r>
          </w:p>
        </w:tc>
        <w:tc>
          <w:tcPr>
            <w:tcW w:type="dxa" w:w="1680"/>
          </w:tcPr>
          <w:p>
            <w:pPr>
              <w:jc w:val="center"/>
            </w:pPr>
            <w:r>
              <w:rPr>
                <w:sz w:val="18"/>
              </w:rPr>
            </w:r>
            <w:r>
              <w:rPr>
                <w:sz w:val="18"/>
              </w:rPr>
              <w:t>4 535</w:t>
            </w:r>
          </w:p>
        </w:tc>
        <w:tc>
          <w:tcPr>
            <w:tcW w:type="dxa" w:w="1680"/>
          </w:tcPr>
          <w:p>
            <w:pPr>
              <w:jc w:val="center"/>
            </w:pPr>
            <w:r>
              <w:rPr>
                <w:sz w:val="18"/>
              </w:rPr>
            </w:r>
            <w:r>
              <w:rPr>
                <w:sz w:val="18"/>
              </w:rPr>
              <w:t>6 417</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4" w:author="Siddalingaiah H S" w:date="2026-08-29T00:00:00Z">
        <w:r>
          <w:rPr>
            <w:b/>
          </w:rPr>
          <w:t>Table 2. Outbreak-year classification, expanding-window thresholds and training-derived decision cut-off (210 state-years; 95 outbreak years).</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Metric</w:t>
            </w:r>
          </w:p>
        </w:tc>
        <w:tc>
          <w:tcPr>
            <w:tcW w:type="dxa" w:w="3360"/>
          </w:tcPr>
          <w:p>
            <w:pPr>
              <w:jc w:val="center"/>
            </w:pPr>
            <w:r/>
            <w:r>
              <w:rPr>
                <w:b/>
                <w:sz w:val="18"/>
              </w:rPr>
              <w:t>Value</w:t>
            </w:r>
          </w:p>
        </w:tc>
        <w:tc>
          <w:tcPr>
            <w:tcW w:type="dxa" w:w="3360"/>
          </w:tcPr>
          <w:p>
            <w:pPr>
              <w:jc w:val="center"/>
            </w:pPr>
            <w:r/>
            <w:r>
              <w:rPr>
                <w:b/>
                <w:sz w:val="18"/>
              </w:rPr>
              <w:t>Non-informative reference</w:t>
            </w:r>
          </w:p>
        </w:tc>
      </w:tr>
      <w:tr>
        <w:trPr>
          <w:cantSplit w:val="true"/>
        </w:trPr>
        <w:tc>
          <w:tcPr>
            <w:tcW w:type="dxa" w:w="3360"/>
          </w:tcPr>
          <w:p>
            <w:pPr>
              <w:jc w:val="left"/>
            </w:pPr>
            <w:r>
              <w:rPr>
                <w:sz w:val="18"/>
              </w:rPr>
            </w:r>
            <w:r>
              <w:rPr>
                <w:sz w:val="18"/>
              </w:rPr>
              <w:t>AUC-ROC</w:t>
            </w:r>
          </w:p>
        </w:tc>
        <w:tc>
          <w:tcPr>
            <w:tcW w:type="dxa" w:w="3360"/>
          </w:tcPr>
          <w:p>
            <w:pPr>
              <w:jc w:val="center"/>
            </w:pPr>
            <w:r>
              <w:rPr>
                <w:sz w:val="18"/>
              </w:rPr>
            </w:r>
            <w:r>
              <w:rPr>
                <w:sz w:val="18"/>
              </w:rPr>
              <w:t>0.522</w:t>
            </w:r>
          </w:p>
        </w:tc>
        <w:tc>
          <w:tcPr>
            <w:tcW w:type="dxa" w:w="3360"/>
          </w:tcPr>
          <w:p>
            <w:pPr>
              <w:jc w:val="center"/>
            </w:pPr>
            <w:r>
              <w:rPr>
                <w:sz w:val="18"/>
              </w:rPr>
            </w:r>
            <w:r>
              <w:rPr>
                <w:sz w:val="18"/>
              </w:rPr>
              <w:t>0.500</w:t>
            </w:r>
          </w:p>
        </w:tc>
      </w:tr>
      <w:tr>
        <w:trPr>
          <w:cantSplit w:val="true"/>
        </w:trPr>
        <w:tc>
          <w:tcPr>
            <w:tcW w:type="dxa" w:w="3360"/>
          </w:tcPr>
          <w:p>
            <w:pPr>
              <w:jc w:val="left"/>
            </w:pPr>
            <w:r>
              <w:rPr>
                <w:sz w:val="18"/>
              </w:rPr>
            </w:r>
            <w:r>
              <w:rPr>
                <w:sz w:val="18"/>
              </w:rPr>
              <w:t>Average precision</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r>
        <w:trPr>
          <w:cantSplit w:val="true"/>
        </w:trPr>
        <w:tc>
          <w:tcPr>
            <w:tcW w:type="dxa" w:w="3360"/>
          </w:tcPr>
          <w:p>
            <w:pPr>
              <w:jc w:val="left"/>
            </w:pPr>
            <w:r>
              <w:rPr>
                <w:sz w:val="18"/>
              </w:rPr>
            </w:r>
            <w:r>
              <w:rPr>
                <w:sz w:val="18"/>
              </w:rPr>
              <w:t>Brier score</w:t>
            </w:r>
          </w:p>
        </w:tc>
        <w:tc>
          <w:tcPr>
            <w:tcW w:type="dxa" w:w="3360"/>
          </w:tcPr>
          <w:p>
            <w:pPr>
              <w:jc w:val="center"/>
            </w:pPr>
            <w:r>
              <w:rPr>
                <w:sz w:val="18"/>
              </w:rPr>
            </w:r>
            <w:r>
              <w:rPr>
                <w:sz w:val="18"/>
              </w:rPr>
              <w:t>0.326</w:t>
            </w:r>
          </w:p>
        </w:tc>
        <w:tc>
          <w:tcPr>
            <w:tcW w:type="dxa" w:w="3360"/>
          </w:tcPr>
          <w:p>
            <w:pPr>
              <w:jc w:val="center"/>
            </w:pPr>
            <w:r>
              <w:rPr>
                <w:sz w:val="18"/>
              </w:rPr>
            </w:r>
            <w:r>
              <w:rPr>
                <w:sz w:val="18"/>
              </w:rPr>
              <w:t>0.248</w:t>
            </w:r>
          </w:p>
        </w:tc>
      </w:tr>
      <w:tr>
        <w:trPr>
          <w:cantSplit w:val="true"/>
        </w:trPr>
        <w:tc>
          <w:tcPr>
            <w:tcW w:type="dxa" w:w="3360"/>
          </w:tcPr>
          <w:p>
            <w:pPr>
              <w:jc w:val="left"/>
            </w:pPr>
            <w:r>
              <w:rPr>
                <w:sz w:val="18"/>
              </w:rPr>
            </w:r>
            <w:r>
              <w:rPr>
                <w:sz w:val="18"/>
              </w:rPr>
              <w:t>Sensitivity</w:t>
            </w:r>
          </w:p>
        </w:tc>
        <w:tc>
          <w:tcPr>
            <w:tcW w:type="dxa" w:w="3360"/>
          </w:tcPr>
          <w:p>
            <w:pPr>
              <w:jc w:val="center"/>
            </w:pPr>
            <w:r>
              <w:rPr>
                <w:sz w:val="18"/>
              </w:rPr>
            </w:r>
            <w:r>
              <w:rPr>
                <w:sz w:val="18"/>
              </w:rPr>
              <w:t>0.232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Specificity</w:t>
            </w:r>
          </w:p>
        </w:tc>
        <w:tc>
          <w:tcPr>
            <w:tcW w:type="dxa" w:w="3360"/>
          </w:tcPr>
          <w:p>
            <w:pPr>
              <w:jc w:val="center"/>
            </w:pPr>
            <w:r>
              <w:rPr>
                <w:sz w:val="18"/>
              </w:rPr>
            </w:r>
            <w:r>
              <w:rPr>
                <w:sz w:val="18"/>
              </w:rPr>
              <w:t>0.783</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Positive predictive value</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5" w:author="Siddalingaiah H S" w:date="2026-08-29T00:00:00Z">
        <w:r>
          <w:rPr>
            <w:b/>
          </w:rPr>
          <w:t>Table 3. Between-state associations with mean annual dengue incidence per 100 000, 2015–2024 (n = 32 states/UTs with observed covariates; Spearman ρ with bootstrap 95% CI).</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2520"/>
        <w:gridCol w:w="2520"/>
        <w:gridCol w:w="2520"/>
        <w:gridCol w:w="2520"/>
      </w:tblGrid>
      <w:tr>
        <w:trPr>
          <w:tblHeader w:val="true"/>
          <w:cantSplit w:val="true"/>
        </w:trPr>
        <w:tc>
          <w:tcPr>
            <w:tcW w:type="dxa" w:w="2520"/>
          </w:tcPr>
          <w:p>
            <w:pPr>
              <w:jc w:val="left"/>
            </w:pPr>
            <w:r/>
            <w:r>
              <w:rPr>
                <w:b/>
                <w:sz w:val="18"/>
              </w:rPr>
              <w:t>Structural indicator</w:t>
            </w:r>
          </w:p>
        </w:tc>
        <w:tc>
          <w:tcPr>
            <w:tcW w:type="dxa" w:w="2520"/>
          </w:tcPr>
          <w:p>
            <w:pPr>
              <w:jc w:val="center"/>
            </w:pPr>
            <w:r/>
            <w:r>
              <w:rPr>
                <w:b/>
                <w:sz w:val="18"/>
              </w:rPr>
              <w:t>ρ</w:t>
            </w:r>
          </w:p>
        </w:tc>
        <w:tc>
          <w:tcPr>
            <w:tcW w:type="dxa" w:w="2520"/>
          </w:tcPr>
          <w:p>
            <w:pPr>
              <w:jc w:val="center"/>
            </w:pPr>
            <w:r/>
            <w:r>
              <w:rPr>
                <w:b/>
                <w:sz w:val="18"/>
              </w:rPr>
              <w:t>95% CI</w:t>
            </w:r>
          </w:p>
        </w:tc>
        <w:tc>
          <w:tcPr>
            <w:tcW w:type="dxa" w:w="2520"/>
          </w:tcPr>
          <w:p>
            <w:pPr>
              <w:jc w:val="center"/>
            </w:pPr>
            <w:r/>
            <w:r>
              <w:rPr>
                <w:b/>
                <w:sz w:val="18"/>
              </w:rPr>
              <w:t>p</w:t>
            </w:r>
          </w:p>
        </w:tc>
      </w:tr>
      <w:tr>
        <w:trPr>
          <w:cantSplit w:val="true"/>
        </w:trPr>
        <w:tc>
          <w:tcPr>
            <w:tcW w:type="dxa" w:w="2520"/>
          </w:tcPr>
          <w:p>
            <w:pPr>
              <w:jc w:val="left"/>
            </w:pPr>
            <w:r>
              <w:rPr>
                <w:sz w:val="18"/>
              </w:rPr>
            </w:r>
            <w:r>
              <w:rPr>
                <w:sz w:val="18"/>
              </w:rPr>
              <w:t>Urban population share (2011)</w:t>
            </w:r>
          </w:p>
        </w:tc>
        <w:tc>
          <w:tcPr>
            <w:tcW w:type="dxa" w:w="2520"/>
          </w:tcPr>
          <w:p>
            <w:pPr>
              <w:jc w:val="center"/>
            </w:pPr>
            <w:r>
              <w:rPr>
                <w:sz w:val="18"/>
              </w:rPr>
            </w:r>
            <w:r>
              <w:rPr>
                <w:b/>
                <w:sz w:val="18"/>
              </w:rPr>
              <w:t>0.635</w:t>
            </w:r>
          </w:p>
        </w:tc>
        <w:tc>
          <w:tcPr>
            <w:tcW w:type="dxa" w:w="2520"/>
          </w:tcPr>
          <w:p>
            <w:pPr>
              <w:jc w:val="center"/>
            </w:pPr>
            <w:r>
              <w:rPr>
                <w:sz w:val="18"/>
              </w:rPr>
            </w:r>
            <w:r>
              <w:rPr>
                <w:sz w:val="18"/>
              </w:rPr>
              <w:t>0.33 to 0.82</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GDP per capita</w:t>
            </w:r>
          </w:p>
        </w:tc>
        <w:tc>
          <w:tcPr>
            <w:tcW w:type="dxa" w:w="2520"/>
          </w:tcPr>
          <w:p>
            <w:pPr>
              <w:jc w:val="center"/>
            </w:pPr>
            <w:r>
              <w:rPr>
                <w:sz w:val="18"/>
              </w:rPr>
            </w:r>
            <w:r>
              <w:rPr>
                <w:b/>
                <w:sz w:val="18"/>
              </w:rPr>
              <w:t>0.609</w:t>
            </w:r>
          </w:p>
        </w:tc>
        <w:tc>
          <w:tcPr>
            <w:tcW w:type="dxa" w:w="2520"/>
          </w:tcPr>
          <w:p>
            <w:pPr>
              <w:jc w:val="center"/>
            </w:pPr>
            <w:r>
              <w:rPr>
                <w:sz w:val="18"/>
              </w:rPr>
            </w:r>
            <w:r>
              <w:rPr>
                <w:sz w:val="18"/>
              </w:rPr>
              <w:t>0.32 to 0.80</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State Energy &amp; Climate Index</w:t>
            </w:r>
          </w:p>
        </w:tc>
        <w:tc>
          <w:tcPr>
            <w:tcW w:type="dxa" w:w="2520"/>
          </w:tcPr>
          <w:p>
            <w:pPr>
              <w:jc w:val="center"/>
            </w:pPr>
            <w:r>
              <w:rPr>
                <w:sz w:val="18"/>
              </w:rPr>
            </w:r>
            <w:r>
              <w:rPr>
                <w:sz w:val="18"/>
              </w:rPr>
              <w:t>0.349</w:t>
            </w:r>
          </w:p>
        </w:tc>
        <w:tc>
          <w:tcPr>
            <w:tcW w:type="dxa" w:w="2520"/>
          </w:tcPr>
          <w:p>
            <w:pPr>
              <w:jc w:val="center"/>
            </w:pPr>
            <w:r>
              <w:rPr>
                <w:sz w:val="18"/>
              </w:rPr>
            </w:r>
            <w:r>
              <w:rPr>
                <w:sz w:val="18"/>
              </w:rPr>
              <w:t>−0.03 to 0.68</w:t>
            </w:r>
          </w:p>
        </w:tc>
        <w:tc>
          <w:tcPr>
            <w:tcW w:type="dxa" w:w="2520"/>
          </w:tcPr>
          <w:p>
            <w:pPr>
              <w:jc w:val="center"/>
            </w:pPr>
            <w:r>
              <w:rPr>
                <w:sz w:val="18"/>
              </w:rPr>
            </w:r>
            <w:r>
              <w:rPr>
                <w:sz w:val="18"/>
              </w:rPr>
              <w:t>0.050</w:t>
            </w:r>
          </w:p>
        </w:tc>
      </w:tr>
      <w:tr>
        <w:trPr>
          <w:cantSplit w:val="true"/>
        </w:trPr>
        <w:tc>
          <w:tcPr>
            <w:tcW w:type="dxa" w:w="2520"/>
          </w:tcPr>
          <w:p>
            <w:pPr>
              <w:jc w:val="left"/>
            </w:pPr>
            <w:r>
              <w:rPr>
                <w:sz w:val="18"/>
              </w:rPr>
            </w:r>
            <w:r>
              <w:rPr>
                <w:sz w:val="18"/>
              </w:rPr>
              <w:t>NITI Aayog Health Index (2019-20)</w:t>
            </w:r>
          </w:p>
        </w:tc>
        <w:tc>
          <w:tcPr>
            <w:tcW w:type="dxa" w:w="2520"/>
          </w:tcPr>
          <w:p>
            <w:pPr>
              <w:jc w:val="center"/>
            </w:pPr>
            <w:r>
              <w:rPr>
                <w:sz w:val="18"/>
              </w:rPr>
            </w:r>
            <w:r>
              <w:rPr>
                <w:sz w:val="18"/>
              </w:rPr>
              <w:t>0.159</w:t>
            </w:r>
          </w:p>
        </w:tc>
        <w:tc>
          <w:tcPr>
            <w:tcW w:type="dxa" w:w="2520"/>
          </w:tcPr>
          <w:p>
            <w:pPr>
              <w:jc w:val="center"/>
            </w:pPr>
            <w:r>
              <w:rPr>
                <w:sz w:val="18"/>
              </w:rPr>
            </w:r>
            <w:r>
              <w:rPr>
                <w:sz w:val="18"/>
              </w:rPr>
              <w:t>−0.20 to 0.48</w:t>
            </w:r>
          </w:p>
        </w:tc>
        <w:tc>
          <w:tcPr>
            <w:tcW w:type="dxa" w:w="2520"/>
          </w:tcPr>
          <w:p>
            <w:pPr>
              <w:jc w:val="center"/>
            </w:pPr>
            <w:r>
              <w:rPr>
                <w:sz w:val="18"/>
              </w:rPr>
            </w:r>
            <w:r>
              <w:rPr>
                <w:sz w:val="18"/>
              </w:rPr>
              <w:t>0.383</w:t>
            </w:r>
          </w:p>
        </w:tc>
      </w:tr>
      <w:tr>
        <w:trPr>
          <w:cantSplit w:val="true"/>
        </w:trPr>
        <w:tc>
          <w:tcPr>
            <w:tcW w:type="dxa" w:w="2520"/>
          </w:tcPr>
          <w:p>
            <w:pPr>
              <w:jc w:val="left"/>
            </w:pPr>
            <w:r>
              <w:rPr>
                <w:sz w:val="18"/>
              </w:rPr>
            </w:r>
            <w:r>
              <w:rPr>
                <w:sz w:val="18"/>
              </w:rPr>
              <w:t>Population density (2011)</w:t>
            </w:r>
          </w:p>
        </w:tc>
        <w:tc>
          <w:tcPr>
            <w:tcW w:type="dxa" w:w="2520"/>
          </w:tcPr>
          <w:p>
            <w:pPr>
              <w:jc w:val="center"/>
            </w:pPr>
            <w:r>
              <w:rPr>
                <w:sz w:val="18"/>
              </w:rPr>
            </w:r>
            <w:r>
              <w:rPr>
                <w:sz w:val="18"/>
              </w:rPr>
              <w:t>−0.004</w:t>
            </w:r>
          </w:p>
        </w:tc>
        <w:tc>
          <w:tcPr>
            <w:tcW w:type="dxa" w:w="2520"/>
          </w:tcPr>
          <w:p>
            <w:pPr>
              <w:jc w:val="center"/>
            </w:pPr>
            <w:r>
              <w:rPr>
                <w:sz w:val="18"/>
              </w:rPr>
            </w:r>
            <w:r>
              <w:rPr>
                <w:sz w:val="18"/>
              </w:rPr>
              <w:t>−0.45 to 0.41</w:t>
            </w:r>
          </w:p>
        </w:tc>
        <w:tc>
          <w:tcPr>
            <w:tcW w:type="dxa" w:w="2520"/>
          </w:tcPr>
          <w:p>
            <w:pPr>
              <w:jc w:val="center"/>
            </w:pPr>
            <w:r>
              <w:rPr>
                <w:sz w:val="18"/>
              </w:rPr>
            </w:r>
            <w:r>
              <w:rPr>
                <w:sz w:val="18"/>
              </w:rPr>
              <w:t>0.983</w:t>
            </w:r>
          </w:p>
        </w:tc>
      </w:tr>
      <w:tr>
        <w:trPr>
          <w:cantSplit w:val="true"/>
        </w:trPr>
        <w:tc>
          <w:tcPr>
            <w:tcW w:type="dxa" w:w="2520"/>
          </w:tcPr>
          <w:p>
            <w:pPr>
              <w:jc w:val="left"/>
            </w:pPr>
            <w:r>
              <w:rPr>
                <w:sz w:val="18"/>
              </w:rPr>
            </w:r>
            <w:r>
              <w:rPr>
                <w:sz w:val="18"/>
              </w:rPr>
              <w:t>GDP per capita, adjusted for Health Index</w:t>
            </w:r>
          </w:p>
        </w:tc>
        <w:tc>
          <w:tcPr>
            <w:tcW w:type="dxa" w:w="2520"/>
          </w:tcPr>
          <w:p>
            <w:pPr>
              <w:jc w:val="center"/>
            </w:pPr>
            <w:r>
              <w:rPr>
                <w:sz w:val="18"/>
              </w:rPr>
            </w:r>
            <w:r>
              <w:rPr>
                <w:sz w:val="18"/>
              </w:rPr>
              <w:t>0.663</w:t>
            </w:r>
          </w:p>
        </w:tc>
        <w:tc>
          <w:tcPr>
            <w:tcW w:type="dxa" w:w="2520"/>
          </w:tcPr>
          <w:p>
            <w:pPr>
              <w:jc w:val="center"/>
            </w:pPr>
            <w:r>
              <w:rPr>
                <w:sz w:val="18"/>
              </w:rPr>
            </w:r>
            <w:r>
              <w:rPr>
                <w:sz w:val="18"/>
              </w:rPr>
              <w:t>—</w:t>
            </w:r>
          </w:p>
        </w:tc>
        <w:tc>
          <w:tcPr>
            <w:tcW w:type="dxa" w:w="2520"/>
          </w:tcPr>
          <w:p>
            <w:pPr>
              <w:jc w:val="center"/>
            </w:pPr>
            <w:r>
              <w:rPr>
                <w:sz w:val="18"/>
              </w:rPr>
            </w:r>
            <w:r>
              <w:rPr>
                <w:sz w:val="18"/>
              </w:rPr>
              <w:t>&lt; 0.001</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6" w:author="Siddalingaiah H S" w:date="2026-08-29T00:00:00Z">
        <w:r>
          <w:rPr>
            <w:b/>
          </w:rPr>
          <w:t>Table 4. Leakage experiment: apparent performance under the primary design and under two common design defects, on identical data.</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Specification</w:t>
            </w:r>
          </w:p>
        </w:tc>
        <w:tc>
          <w:tcPr>
            <w:tcW w:type="dxa" w:w="3360"/>
          </w:tcPr>
          <w:p>
            <w:pPr>
              <w:jc w:val="center"/>
            </w:pPr>
            <w:r/>
            <w:r>
              <w:rPr>
                <w:b/>
                <w:sz w:val="18"/>
              </w:rPr>
              <w:t>R² (log scale)</w:t>
            </w:r>
          </w:p>
        </w:tc>
        <w:tc>
          <w:tcPr>
            <w:tcW w:type="dxa" w:w="3360"/>
          </w:tcPr>
          <w:p>
            <w:pPr>
              <w:jc w:val="center"/>
            </w:pPr>
            <w:r/>
            <w:r>
              <w:rPr>
                <w:b/>
                <w:sz w:val="18"/>
              </w:rPr>
              <w:t>Inflation vs. leakage-free</w:t>
            </w:r>
          </w:p>
        </w:tc>
      </w:tr>
      <w:tr>
        <w:trPr>
          <w:cantSplit w:val="true"/>
        </w:trPr>
        <w:tc>
          <w:tcPr>
            <w:tcW w:type="dxa" w:w="3360"/>
          </w:tcPr>
          <w:p>
            <w:pPr>
              <w:jc w:val="left"/>
            </w:pPr>
            <w:r>
              <w:rPr>
                <w:sz w:val="18"/>
              </w:rPr>
            </w:r>
            <w:r>
              <w:rPr>
                <w:sz w:val="18"/>
              </w:rPr>
              <w:t>Leakage-free year-ahead (primary)</w:t>
            </w:r>
          </w:p>
        </w:tc>
        <w:tc>
          <w:tcPr>
            <w:tcW w:type="dxa" w:w="3360"/>
          </w:tcPr>
          <w:p>
            <w:pPr>
              <w:jc w:val="center"/>
            </w:pPr>
            <w:r>
              <w:rPr>
                <w:sz w:val="18"/>
              </w:rPr>
            </w:r>
            <w:r>
              <w:rPr>
                <w:sz w:val="18"/>
              </w:rPr>
              <w:t>0.551</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Non-temporal random-split cross-validation</w:t>
            </w:r>
          </w:p>
        </w:tc>
        <w:tc>
          <w:tcPr>
            <w:tcW w:type="dxa" w:w="3360"/>
          </w:tcPr>
          <w:p>
            <w:pPr>
              <w:jc w:val="center"/>
            </w:pPr>
            <w:r>
              <w:rPr>
                <w:sz w:val="18"/>
              </w:rPr>
            </w:r>
            <w:r>
              <w:rPr>
                <w:sz w:val="18"/>
              </w:rPr>
              <w:t>0.626</w:t>
            </w:r>
          </w:p>
        </w:tc>
        <w:tc>
          <w:tcPr>
            <w:tcW w:type="dxa" w:w="3360"/>
          </w:tcPr>
          <w:p>
            <w:pPr>
              <w:jc w:val="center"/>
            </w:pPr>
            <w:r>
              <w:rPr>
                <w:sz w:val="18"/>
              </w:rPr>
            </w:r>
            <w:r>
              <w:rPr>
                <w:sz w:val="18"/>
              </w:rPr>
              <w:t>+0.075</w:t>
            </w:r>
          </w:p>
        </w:tc>
      </w:tr>
      <w:tr>
        <w:trPr>
          <w:cantSplit w:val="true"/>
        </w:trPr>
        <w:tc>
          <w:tcPr>
            <w:tcW w:type="dxa" w:w="3360"/>
          </w:tcPr>
          <w:p>
            <w:pPr>
              <w:jc w:val="left"/>
            </w:pPr>
            <w:r>
              <w:rPr>
                <w:sz w:val="18"/>
              </w:rPr>
            </w:r>
            <w:r>
              <w:rPr>
                <w:sz w:val="18"/>
              </w:rPr>
              <w:t>Unshifted 3-year rolling mean (target leakage)</w:t>
            </w:r>
          </w:p>
        </w:tc>
        <w:tc>
          <w:tcPr>
            <w:tcW w:type="dxa" w:w="3360"/>
          </w:tcPr>
          <w:p>
            <w:pPr>
              <w:jc w:val="center"/>
            </w:pPr>
            <w:r>
              <w:rPr>
                <w:sz w:val="18"/>
              </w:rPr>
            </w:r>
            <w:r>
              <w:rPr>
                <w:sz w:val="18"/>
              </w:rPr>
              <w:t>0.759</w:t>
            </w:r>
          </w:p>
        </w:tc>
        <w:tc>
          <w:tcPr>
            <w:tcW w:type="dxa" w:w="3360"/>
          </w:tcPr>
          <w:p>
            <w:pPr>
              <w:jc w:val="center"/>
            </w:pPr>
            <w:r>
              <w:rPr>
                <w:sz w:val="18"/>
              </w:rPr>
            </w:r>
            <w:r>
              <w:rPr>
                <w:sz w:val="18"/>
              </w:rPr>
              <w:t>+0.209</w:t>
            </w:r>
          </w:p>
        </w:tc>
      </w:tr>
      <w:tr>
        <w:trPr>
          <w:cantSplit w:val="true"/>
        </w:trPr>
        <w:tc>
          <w:tcPr>
            <w:tcW w:type="dxa" w:w="3360"/>
          </w:tcPr>
          <w:p>
            <w:pPr>
              <w:jc w:val="left"/>
            </w:pPr>
            <w:r>
              <w:rPr>
                <w:sz w:val="18"/>
              </w:rPr>
            </w:r>
            <w:r>
              <w:rPr>
                <w:b/>
                <w:sz w:val="18"/>
              </w:rPr>
              <w:t>Outbreak AUC</w:t>
            </w:r>
            <w:r>
              <w:rPr>
                <w:sz w:val="18"/>
              </w:rPr>
              <w:t>, expanding-window threshold</w:t>
            </w:r>
          </w:p>
        </w:tc>
        <w:tc>
          <w:tcPr>
            <w:tcW w:type="dxa" w:w="3360"/>
          </w:tcPr>
          <w:p>
            <w:pPr>
              <w:jc w:val="center"/>
            </w:pPr>
            <w:r>
              <w:rPr>
                <w:sz w:val="18"/>
              </w:rPr>
            </w:r>
            <w:r>
              <w:rPr>
                <w:sz w:val="18"/>
              </w:rPr>
              <w:t>0.522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b/>
                <w:sz w:val="18"/>
              </w:rPr>
              <w:t>Outbreak AUC</w:t>
            </w:r>
            <w:r>
              <w:rPr>
                <w:sz w:val="18"/>
              </w:rPr>
              <w:t>, full-panel threshold (look-ahead)</w:t>
            </w:r>
          </w:p>
        </w:tc>
        <w:tc>
          <w:tcPr>
            <w:tcW w:type="dxa" w:w="3360"/>
          </w:tcPr>
          <w:p>
            <w:pPr>
              <w:jc w:val="center"/>
            </w:pPr>
            <w:r>
              <w:rPr>
                <w:sz w:val="18"/>
              </w:rPr>
            </w:r>
            <w:r>
              <w:rPr>
                <w:sz w:val="18"/>
              </w:rPr>
              <w:t>0.544</w:t>
            </w:r>
          </w:p>
        </w:tc>
        <w:tc>
          <w:tcPr>
            <w:tcW w:type="dxa" w:w="3360"/>
          </w:tcPr>
          <w:p>
            <w:pPr>
              <w:jc w:val="center"/>
            </w:pPr>
            <w:r>
              <w:rPr>
                <w:sz w:val="18"/>
              </w:rPr>
            </w:r>
            <w:r>
              <w:rPr>
                <w:sz w:val="18"/>
              </w:rPr>
              <w:t>+0.022</w:t>
            </w:r>
          </w:p>
        </w:tc>
      </w:tr>
    </w:tbl>
    <w:p>
      <w:pPr>
        <w:spacing w:after="40"/>
      </w:pPr>
    </w:p>
    <w:p>
      <w:pPr>
        <w:sectPr>
          <w:type w:val="continuous"/>
          <w:pgSz w:w="12240" w:h="15840"/>
          <w:pgMar w:top="1152" w:right="1080" w:bottom="1152" w:left="1080" w:header="720" w:footer="720" w:gutter="0"/>
          <w:cols w:space="432" w:num="1"/>
          <w:docGrid w:linePitch="360"/>
        </w:sectPr>
      </w:pPr>
    </w:p>
    <w:p>
      <w:pPr>
        <w:sectPr>
          <w:type w:val="continuous"/>
          <w:pgSz w:w="12240" w:h="15840"/>
          <w:pgMar w:top="1152" w:right="1080" w:bottom="1152" w:left="1080" w:header="720" w:footer="720" w:gutter="0"/>
          <w:cols w:space="432" w:num="2"/>
          <w:docGrid w:linePitch="360"/>
        </w:sectPr>
      </w:pPr>
    </w:p>
    <w:p>
      <w:pPr>
        <w:pStyle w:val="Heading1"/>
      </w:pPr>
      <w:r>
        <w:t>7. Figure Legends</w:t>
      </w:r>
    </w:p>
    <w:p>
      <w:pPr>
        <w:keepNext/>
        <w:spacing w:before="200" w:after="40"/>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ins w:id="1077" w:author="Siddalingaiah H S" w:date="2026-08-29T00:00:00Z">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ins>
    </w:p>
    <w:p>
      <w:pPr>
        <w:keepNext/>
        <w:spacing w:before="200" w:after="40"/>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ins w:id="1078" w:author="Siddalingaiah H S" w:date="2026-08-29T00:00:00Z">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ins>
    </w:p>
    <w:p>
      <w:pPr>
        <w:keepNext/>
        <w:spacing w:before="200" w:after="40"/>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ins w:id="1079" w:author="Siddalingaiah H S" w:date="2026-08-29T00:00:00Z">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ins>
    </w:p>
    <w:p>
      <w:pPr>
        <w:keepNext/>
        <w:spacing w:before="200" w:after="40"/>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ins w:id="1080" w:author="Siddalingaiah H S" w:date="2026-08-29T00:00:00Z">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ins>
    </w:p>
    <w:p>
      <w:pPr>
        <w:keepNext/>
        <w:spacing w:before="200" w:after="40"/>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ins w:id="1081" w:author="Siddalingaiah H S" w:date="2026-08-29T00:00:00Z">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ins>
    </w:p>
    <w:p>
      <w:pPr>
        <w:keepNext/>
        <w:spacing w:before="200" w:after="40"/>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ins w:id="1082" w:author="Siddalingaiah H S" w:date="2026-08-29T00:00:00Z">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ins>
    </w:p>
    <w:p>
      <w:pPr>
        <w:keepNext/>
        <w:spacing w:before="200" w:after="40"/>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ins w:id="1083" w:author="Siddalingaiah H S" w:date="2026-08-29T00:00:00Z">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ins>
    </w:p>
    <w:p>
      <w:pPr>
        <w:sectPr>
          <w:type w:val="continuous"/>
          <w:pgSz w:w="12240" w:h="15840"/>
          <w:pgMar w:top="1152" w:right="1080" w:bottom="1152" w:left="1080" w:header="720" w:footer="720" w:gutter="0"/>
          <w:cols w:space="432" w:num="1"/>
          <w:docGrid w:linePitch="360"/>
        </w:sectPr>
      </w:pPr>
    </w:p>
    <w:p>
      <w:pPr>
        <w:pStyle w:val="Heading1"/>
      </w:pPr>
      <w:r>
        <w:t>8. References</w:t>
      </w:r>
    </w:p>
    <w:p>
      <w:ins w:id="1084" w:author="Siddalingaiah H S" w:date="2026-08-29T00:00:00Z">
        <w:r>
          <w:t xml:space="preserve">1. World Health Organization. </w:t>
        </w:r>
        <w:r>
          <w:rPr>
            <w:i/>
          </w:rPr>
          <w:t>Dengue</w:t>
        </w:r>
        <w:r>
          <w:t xml:space="preserve"> [Internet]. Geneva: World Health Organization; 2025 Aug 21 [cited 2026 Aug 20]. Available from: https://www.who.int/news-room/fact-sheets/detail/dengue-and-severe-dengue</w:t>
        </w:r>
      </w:ins>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ins w:id="1085" w:author="Siddalingaiah H S" w:date="2026-08-29T00:00:00Z">
        <w:r>
          <w:t xml:space="preserve">4. National Centre for Vector Borne Diseases Control. </w:t>
        </w:r>
        <w:r>
          <w:rPr>
            <w:i/>
          </w:rPr>
          <w:t>Dengue Situation in India: Dengue Cases and Deaths in the Country</w:t>
        </w:r>
        <w:r>
          <w:t xml:space="preserve"> [Internet]. New Delhi: Directorate General of Health Services, Ministry of Health and Family Welfare, Government of India; [cited 2026 Aug 20]. Available from: https://ncvbdc.mohfw.gov.in/index4.php?lang=1&amp;level=0&amp;lid=3715&amp;linkid=431</w:t>
        </w:r>
      </w:ins>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del w:id="1086" w:author="Siddalingaiah H S" w:date="2026-08-29T00:00:00Z">
        <w:r>
          <w:delText xml:space="preserve">14. </w:delText>
        </w:r>
      </w:del>
      <w:ins w:id="1087" w:author="Siddalingaiah H S" w:date="2026-08-29T00:00:00Z">
        <w:r>
          <w:t xml:space="preserve">6. </w:t>
        </w:r>
      </w:ins>
      <w:r>
        <w:t xml:space="preserve">Salim NAM, Wah YB, Reeves C, Smith M, Yaacob WFW, Mudin RN, et al. Prediction of dengue outbreak in Selangor Malaysia using machine learning techniques. Sci Rep. 2021;11(1):939. doi:10.1038/s41598-020-79193-2. </w:t>
      </w:r>
    </w:p>
    <w:p>
      <w:del w:id="1088" w:author="Siddalingaiah H S" w:date="2026-08-29T00:00:00Z">
        <w:r>
          <w:delText xml:space="preserve">10. </w:delText>
        </w:r>
      </w:del>
      <w:ins w:id="1089" w:author="Siddalingaiah H S" w:date="2026-08-29T00:00:00Z">
        <w:r>
          <w:t xml:space="preserve">7. </w:t>
        </w:r>
      </w:ins>
      <w:r>
        <w:t xml:space="preserve">Clarke J, Lim A, Gupte P, et al. A global dataset of publicly available dengue case count data. Sci Data. 2024;11:296. doi:10.1038/s41597-024-03120-7. </w:t>
      </w:r>
      <w:ins w:id="1090" w:author="Siddalingaiah H S" w:date="2026-08-29T00:00:00Z">
        <w:r>
          <w:t xml:space="preserve">Data extract used: OpenDengue Spatial extract V1.3 [dataset]. </w:t>
        </w:r>
      </w:ins>
      <w:r>
        <w:t xml:space="preserve">Available from: https://opendengue.org </w:t>
      </w:r>
      <w:del w:id="1091" w:author="Siddalingaiah H S" w:date="2026-08-29T00:00:00Z">
        <w:r>
          <w:delText xml:space="preserve">(accessed 5 Jan 2025). </w:delText>
        </w:r>
      </w:del>
      <w:ins w:id="1092" w:author="Siddalingaiah H S" w:date="2026-08-29T00:00:00Z">
        <w:r>
          <w:t xml:space="preserve">[cited 2026 Aug 20]. </w:t>
        </w:r>
      </w:ins>
    </w:p>
    <w:p>
      <w:ins w:id="1093" w:author="Siddalingaiah H S" w:date="2026-08-29T00:00:00Z">
        <w:r>
          <w:t xml:space="preserve">8. Kapoor S, Narayanan A. Leakage and the reproducibility crisis in machine-learning-based science. </w:t>
        </w:r>
        <w:r>
          <w:rPr>
            <w:i/>
          </w:rPr>
          <w:t>Patterns</w:t>
        </w:r>
        <w:r>
          <w:t>. 2023;4(9):100804. doi:10.1016/j.patter.2023.100804.</w:t>
        </w:r>
      </w:ins>
    </w:p>
    <w:p>
      <w:del w:id="1094" w:author="Siddalingaiah H S" w:date="2026-08-29T00:00:00Z">
        <w:r>
          <w:delText xml:space="preserve">7. </w:delText>
        </w:r>
      </w:del>
      <w:ins w:id="1095" w:author="Siddalingaiah H S" w:date="2026-08-29T00:00:00Z">
        <w:r>
          <w:t xml:space="preserve">9. </w:t>
        </w:r>
      </w:ins>
      <w:r>
        <w:t xml:space="preserve">NITI Aayog. Healthy States, Progressive India: Report on the Ranks of States and Union </w:t>
      </w:r>
      <w:del w:id="1096" w:author="Siddalingaiah H S" w:date="2026-08-29T00:00:00Z">
        <w:r>
          <w:delText xml:space="preserve">Territories (Fourth Edition, 2019-20). </w:delText>
        </w:r>
      </w:del>
      <w:ins w:id="1097" w:author="Siddalingaiah H S" w:date="2026-08-29T00:00:00Z">
        <w:r>
          <w:t xml:space="preserve">Territories—Health Index Round IV 2019–20. </w:t>
        </w:r>
      </w:ins>
      <w:r>
        <w:t xml:space="preserve">New Delhi: NITI Aayog, Government of India; 2021. </w:t>
      </w:r>
    </w:p>
    <w:p>
      <w:ins w:id="1098" w:author="Siddalingaiah H S" w:date="2026-08-29T00:00:00Z">
        <w:r>
          <w:t xml:space="preserve">10. Collins GS, Moons KGM, Dhiman P, Riley RD, Beam AL, Van Calster B, et al. TRIPOD+AI statement: updated guidance for reporting clinical prediction models that use regression or machine learning methods. </w:t>
        </w:r>
        <w:r>
          <w:rPr>
            <w:i/>
          </w:rPr>
          <w:t>BMJ</w:t>
        </w:r>
        <w:r>
          <w:t xml:space="preserve">. 2024;385:e078378. doi:10.1136/bmj-2023-078378. Erratum in: </w:t>
        </w:r>
        <w:r>
          <w:rPr>
            <w:i/>
          </w:rPr>
          <w:t>BMJ</w:t>
        </w:r>
        <w:r>
          <w:t>. 2024;385:q902. doi:10.1136/bmj.q902.</w:t>
        </w:r>
      </w:ins>
    </w:p>
    <w:p>
      <w:del w:id="1099" w:author="Siddalingaiah H S" w:date="2026-08-29T00:00:00Z">
        <w:r>
          <w:delText xml:space="preserve">6. </w:delText>
        </w:r>
      </w:del>
      <w:ins w:id="1100" w:author="Siddalingaiah H S" w:date="2026-08-29T00:00:00Z">
        <w:r>
          <w:t xml:space="preserve">11. </w:t>
        </w:r>
      </w:ins>
      <w:r>
        <w:t xml:space="preserve">Tjaden NB, Thomas SM, Fischer D, Beierkuhnlein C. Extrinsic incubation period of dengue: knowledge, backlog, and applications of temperature dependence. PLoS Negl Trop Dis. 2013;7(6):e2207. doi:10.1371/journal.pntd.0002207. </w:t>
      </w:r>
    </w:p>
    <w:p>
      <w:del w:id="1101" w:author="Siddalingaiah H S" w:date="2026-08-29T00:00:00Z">
        <w:r>
          <w:delText xml:space="preserve">9. </w:delText>
        </w:r>
      </w:del>
      <w:ins w:id="1102" w:author="Siddalingaiah H S" w:date="2026-08-29T00:00:00Z">
        <w:r>
          <w:t xml:space="preserve">12. </w:t>
        </w:r>
      </w:ins>
      <w:r>
        <w:t xml:space="preserve">Friedman JH. Greedy function approximation: a gradient boosting machine. Ann Stat. 2001;29(5):1189-1232. doi:10.1214/aos/1013203451. </w:t>
      </w:r>
    </w:p>
    <w:p>
      <w:ins w:id="1103" w:author="Siddalingaiah H S" w:date="2026-08-29T00:00:00Z">
        <w:r>
          <w:t xml:space="preserve">13. Hicks SA, Strümke I, Thambawita V, Hammou M, Riegler MA, Halvorsen P, et al. On evaluation metrics for medical applications of artificial intelligence. </w:t>
        </w:r>
        <w:r>
          <w:rPr>
            <w:i/>
          </w:rPr>
          <w:t>Sci Rep</w:t>
        </w:r>
        <w:r>
          <w:t>. 2022;12:5979. doi:10.1038/s41598-022-09954-8.</w:t>
        </w:r>
      </w:ins>
    </w:p>
    <w:p>
      <w:ins w:id="1104" w:author="Siddalingaiah H S" w:date="2026-08-29T00:00:00Z">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ins>
    </w:p>
    <w:p>
      <w:del w:id="1105" w:author="Siddalingaiah H S" w:date="2026-08-29T00:00:00Z">
        <w:r>
          <w:delText xml:space="preserve">12. </w:delText>
        </w:r>
      </w:del>
      <w:ins w:id="1106" w:author="Siddalingaiah H S" w:date="2026-08-29T00:00:00Z">
        <w:r>
          <w:t xml:space="preserve">15. </w:t>
        </w:r>
      </w:ins>
      <w:r>
        <w:t xml:space="preserve">Mutheneni SR, Morse AP, Caminade C, Upadhyayula SM. Dengue burden in India: recent trends and importance of climatic parameters. Emerg Microbes Infect. 2017;6(8):e70. doi:10.1038/emi.2017.57. </w:t>
      </w:r>
    </w:p>
    <w:p>
      <w:del w:id="1107" w:author="Siddalingaiah H S" w:date="2026-08-29T00:00:00Z">
        <w:r>
          <w:delText xml:space="preserve">8. </w:delText>
        </w:r>
      </w:del>
      <w:ins w:id="1108" w:author="Siddalingaiah H S" w:date="2026-08-29T00:00:00Z">
        <w:r>
          <w:t xml:space="preserve">16. </w:t>
        </w:r>
      </w:ins>
      <w:r>
        <w:t xml:space="preserve">Messina JP, Brady OJ, Golding N, Kraemer MUG, Wint GRW, Ray SE, et al. The current and future global distribution and population at risk of dengue. Nat Microbiol. 2019;4(9):1508-1515. doi:10.1038/s41564-019-0476-8. </w:t>
      </w:r>
    </w:p>
    <w:p>
      <w:pPr>
        <w:sectPr>
          <w:type w:val="continuous"/>
          <w:pgSz w:w="12240" w:h="15840"/>
          <w:pgMar w:top="1152" w:right="1080" w:bottom="1152" w:left="1080" w:header="720" w:footer="720" w:gutter="0"/>
          <w:cols w:space="432" w:num="2"/>
          <w:docGrid w:linePitch="360"/>
        </w:sectPr>
      </w:pPr>
    </w:p>
    <w:p>
      <w:pPr>
        <w:pStyle w:val="Heading1"/>
      </w:pPr>
      <w:r>
        <w:t>Text removed from the originally submitted manuscript</w:t>
      </w:r>
    </w:p>
    <w:p>
      <w:del w:id="1109" w:author="Siddalingaiah H S" w:date="2026-08-29T00:00:00Z">
        <w:r>
          <w:rPr>
            <w:b/>
          </w:rPr>
          <w:delText xml:space="preserve">Background:</w:delText>
        </w:r>
        <w:r>
          <w:delText xml:space="preserve"> Dengue has become a hyper-endemic public-health crisis in India, yet routine surveillance remains largely reactive: outbreaks are recognised only after transmission peaks, leaving a narrow window for vector control. Predictive early-warning tools that exploit routinely available epidemiological, climatic and structural data could shift the response from reaction to anticipation.</w:delText>
        </w:r>
      </w:del>
    </w:p>
    <w:p>
      <w:del w:id="1110" w:author="Siddalingaiah H S" w:date="2026-08-29T00:00:00Z">
        <w:r>
          <w:rPr>
            <w:b/>
          </w:rPr>
          <w:delText xml:space="preserve">Objectives:</w:delText>
        </w:r>
        <w:r>
          <w:delText xml:space="preserve"> To develop and rigorously validate a multi-modal machine-learning framework for state-level dengue prediction in India that (i) forecasts monthly case intensity, (ii) flags outbreak months, and (iii) transparently decomposes the relative contribution of seasonal, autoregressive, climatic and socio-economic vulnerability drivers. A secondary objective was to distil the model into a paper-based "Field Risk Scorecard" usable by district health officers.</w:delText>
        </w:r>
      </w:del>
    </w:p>
    <w:p>
      <w:del w:id="1111" w:author="Siddalingaiah H S" w:date="2026-08-29T00:00:00Z">
        <w:r>
          <w:rPr>
            <w:b/>
          </w:rPr>
          <w:delText xml:space="preserve">Methods:</w:delText>
        </w:r>
        <w:r>
          <w:delText xml:space="preserve"> We assembled a longitudinal panel of 1,740 state-months spanning 15 major dengue-endemic Indian states over 2015–2024 (116 months per state). Monthly National Vector Borne Disease Control Programme (NVBDCP) and OpenDengue case data were integrated with India Meteorological Department climate fields and a novel block of structural vulnerability indicators—the NITI Aayog Health Index (2019-20), state GDP per capita, the State Energy &amp; Climate Index, urbanisation and population density. We engineered 25 features across four interpretable blocks (autoregressive, seasonal, climatic, vulnerability) and modelled the log-transformed case count with a Gradient Boosting Regressor; a Gradient Boosting Classifier detected outbreak months (state-specific &gt;75th percentile). All performance was estimated by leakage-controlled 5-fold blocked TimeSeriesSplit cross-validation. We quantified driver structure using grouped Gini importance, a nested feature-block ablation, and a between-state Spearman analysis of cumulative burden against vulnerability.</w:delText>
        </w:r>
      </w:del>
    </w:p>
    <w:p>
      <w:del w:id="1112" w:author="Siddalingaiah H S" w:date="2026-08-29T00:00:00Z">
        <w:r>
          <w:rPr>
            <w:b/>
          </w:rPr>
          <w:delText xml:space="preserve">Results:</w:delText>
        </w:r>
        <w:r>
          <w:delText xml:space="preserve"> The regressor explained the majority of variance in monthly incidence (cross-validated R² = 0.892 ± 0.028; RMSE = 232 cases; MAE = 132). The classifier discriminated outbreak months well under temporal validation (out-of-fold AUC = 0.936; sensitivity = 0.91). Driver decomposition was dominated by seasonality (74.0%) and autoregressive momentum (20.8%), with climate (1.2%) and vulnerability (4.0%) contributing modestly to month-ahead dynamics. Crucially, the ablation showed structural covariates add little to </w:delText>
        </w:r>
        <w:r>
          <w:rPr>
            <w:i/>
          </w:rPr>
          <w:delText xml:space="preserve">short-term</w:delText>
        </w:r>
        <w:r>
          <w:delText xml:space="preserve"> forecasting, yet </w:delText>
        </w:r>
        <w:r>
          <w:rPr>
            <w:i/>
          </w:rPr>
          <w:delText xml:space="preserve">between-state</w:delText>
        </w:r>
        <w:r>
          <w:delText xml:space="preserve"> cumulative burden tracked GDP per capita (Spearman ρ = 0.51, p = 0.05), locating vulnerability’s true role in cross-state stratification rather than temporal prediction. The simplified Field Scorecard reproduced model risk ordering closely (ρ = 0.76, p &lt; 0.001).</w:delText>
        </w:r>
      </w:del>
    </w:p>
    <w:p>
      <w:del w:id="1113" w:author="Siddalingaiah H S" w:date="2026-08-29T00:00:00Z">
        <w:r>
          <w:rPr>
            <w:b/>
          </w:rPr>
          <w:delText xml:space="preserve">Conclusions:</w:delText>
        </w:r>
        <w:r>
          <w:delText xml:space="preserve"> A transparent, leakage-controlled multi-modal framework predicts dengue intensity and outbreak timing with strong accuracy, while an explicit ablation honestly disentangles which signals matter and where. Seasonality and case momentum drive short-term risk; structural vulnerability differentiates the chronic burden borne by states with weaker systems. The accompanying risk map and validated field tool provide a deployable pathway toward anticipatory dengue control.</w:delText>
        </w:r>
      </w:del>
    </w:p>
    <w:p>
      <w:del w:id="1114" w:author="Siddalingaiah H S" w:date="2026-08-29T00:00:00Z">
        <w:r>
          <w:delText xml:space="preserve">Control in India rests on the NVBDCP </w:delText>
        </w:r>
        <w:r>
          <w:rPr>
            <w:vertAlign w:val="superscript"/>
          </w:rPr>
          <w:delText xml:space="preserve">4</w:delText>
        </w:r>
        <w:r>
          <w:delText xml:space="preserve"> and the Integrated Disease Surveillance Programme. These systems are robust for retrospective case reporting but function as </w:delText>
        </w:r>
        <w:r>
          <w:rPr>
            <w:i/>
          </w:rPr>
          <w:delText xml:space="preserve">detection</w:delText>
        </w:r>
        <w:r>
          <w:delText xml:space="preserve"> rather than </w:delText>
        </w:r>
        <w:r>
          <w:rPr>
            <w:i/>
          </w:rPr>
          <w:delText xml:space="preserve">prediction</w:delText>
        </w:r>
        <w:r>
          <w:delText xml:space="preserve"> tools. Because the extrinsic incubation period in the mosquito (8–12 days) and intrinsic incubation in humans (4–10 days) together mean a clinical index case reflects transmission active for at least two weeks, interventions such as fogging are routinely deployed after the epidemic curve has crested </w:delText>
        </w:r>
        <w:r>
          <w:rPr>
            <w:vertAlign w:val="superscript"/>
          </w:rPr>
          <w:delText xml:space="preserve">5</w:delText>
        </w:r>
        <w:r>
          <w:delText xml:space="preserve">. A model offering even four weeks of lead time could enable pre-emptive larval-source management.</w:delText>
        </w:r>
      </w:del>
    </w:p>
    <w:p>
      <w:del w:id="1115" w:author="Siddalingaiah H S" w:date="2026-08-29T00:00:00Z">
        <w:r>
          <w:delText xml:space="preserve">The range of </w:delText>
        </w:r>
        <w:r>
          <w:rPr>
            <w:i/>
          </w:rPr>
          <w:delText xml:space="preserve">Aedes aegypti</w:delText>
        </w:r>
        <w:r>
          <w:delText xml:space="preserve"> and </w:delText>
        </w:r>
        <w:r>
          <w:rPr>
            <w:i/>
          </w:rPr>
          <w:delText xml:space="preserve">Aedes albopictus</w:delText>
        </w:r>
        <w:r>
          <w:delText xml:space="preserve"> is tightly coupled to climate: temperature compresses the extrinsic incubation period (≈12 days at 25 °C to ≈7 days at 30 °C) while rainfall creates breeding habitat </w:delText>
        </w:r>
        <w:r>
          <w:rPr>
            <w:vertAlign w:val="superscript"/>
          </w:rPr>
          <w:delText xml:space="preserve">6</w:delText>
        </w:r>
        <w:r>
          <w:delText xml:space="preserve">. Yet purely climatic models neglect the human and systemic dimension. Dengue is an urban disease, amplified by water-storage practices and sanitation failures, and </w:delText>
        </w:r>
        <w:r>
          <w:rPr>
            <w:i/>
          </w:rPr>
          <w:delText xml:space="preserve">detected</w:delText>
        </w:r>
        <w:r>
          <w:delText xml:space="preserve"> burden is filtered through the strength of each state’s health system. We therefore hypothesised that a </w:delText>
        </w:r>
        <w:r>
          <w:rPr>
            <w:b/>
          </w:rPr>
          <w:delText xml:space="preserve">multi-modal</w:delText>
        </w:r>
        <w:r>
          <w:delText xml:space="preserve"> representation—combining epidemiological momentum, season, climate and </w:delText>
        </w:r>
        <w:r>
          <w:rPr>
            <w:b/>
          </w:rPr>
          <w:delText xml:space="preserve">structural vulnerability</w:delText>
        </w:r>
        <w:r>
          <w:delText xml:space="preserve">—would both improve prediction and clarify the hierarchy of drivers. We operationalise system vulnerability through the NITI Aayog Health Index </w:delText>
        </w:r>
        <w:r>
          <w:rPr>
            <w:vertAlign w:val="superscript"/>
          </w:rPr>
          <w:delText xml:space="preserve">7</w:delText>
        </w:r>
        <w:r>
          <w:delText xml:space="preserve"> and allied indicators, allowing the "vulnerability–exposure" nexus to be tested explicitly rather than assumed.</w:delText>
        </w:r>
      </w:del>
    </w:p>
    <w:p>
      <w:del w:id="1116" w:author="Siddalingaiah H S" w:date="2026-08-29T00:00:00Z">
        <w:r>
          <w:delText xml:space="preserve">For decision-makers, the </w:delText>
        </w:r>
        <w:r>
          <w:rPr>
            <w:i/>
          </w:rPr>
          <w:delText xml:space="preserve">category</w:delText>
        </w:r>
        <w:r>
          <w:delText xml:space="preserve"> of risk ("will we face an outbreak?") is often more actionable than an exact count. We therefore adopt a dual framing: regression for resource planning and binary classification for triggering emergency protocols </w:delText>
        </w:r>
        <w:r>
          <w:rPr>
            <w:vertAlign w:val="superscript"/>
          </w:rPr>
          <w:delText xml:space="preserve">8</w:delText>
        </w:r>
        <w:r>
          <w:delText xml:space="preserve">. We use Gradient Boosting Machines (GBMs) for their ability to capture non-linear interactions and tolerate the missingness common in surveillance data </w:delText>
        </w:r>
        <w:r>
          <w:rPr>
            <w:vertAlign w:val="superscript"/>
          </w:rPr>
          <w:delText xml:space="preserve">9</w:delText>
        </w:r>
        <w:r>
          <w:delText xml:space="preserve">, and we pair them with an explicit ablation and importance analysis so that the framework remains interpretable to public-health users rather than a black box.</w:delText>
        </w:r>
      </w:del>
    </w:p>
    <w:p>
      <w:del w:id="1117" w:author="Siddalingaiah H S" w:date="2026-08-29T00:00:00Z">
        <w:r>
          <w:delText xml:space="preserve">This is a retrospective, longitudinal ecological modelling study at the state–month level. The analytical unit is the "state-month." We follow the spirit of the TRIPOD guidance for prediction-model reporting: we specify data sources, the full predictor set, model configuration, validation procedure and performance with uncertainty, and we release code and data for reproducibility (Section 2.9). Because all data are aggregate, anonymised and publicly available, the study did not require individual ethics approval (Section 2.10).</w:delText>
        </w:r>
      </w:del>
    </w:p>
    <w:p>
      <w:del w:id="1118" w:author="Siddalingaiah H S" w:date="2026-08-29T00:00:00Z">
        <w:r>
          <w:delText xml:space="preserve">The panel comprises </w:delText>
        </w:r>
        <w:r>
          <w:rPr>
            <w:b/>
          </w:rPr>
          <w:delText xml:space="preserve">15 major dengue-endemic states</w:delText>
        </w:r>
        <w:r>
          <w:delText xml:space="preserve">—Andhra Pradesh, Bihar, Delhi, Gujarat, Haryana, Karnataka, Kerala, Maharashtra, Odisha, Punjab, Rajasthan, Tamil Nadu, Telangana, Uttar Pradesh and West Bengal—observed monthly from May 2015 to December 2024 (116 months each; </w:delText>
        </w:r>
        <w:r>
          <w:rPr>
            <w:b/>
          </w:rPr>
          <w:delText xml:space="preserve">1,740 state-months</w:delText>
        </w:r>
        <w:r>
          <w:delText xml:space="preserve">). These states were selected because they have continuous, good-quality monthly reporting and together account for the large majority of India’s reported dengue caseload (cumulative 1.27 million reported cases in the panel). States with only sparse or annual data were deliberately excluded rather than imputed at monthly resolution, to avoid fabricating temporal structure.</w:delText>
        </w:r>
      </w:del>
    </w:p>
    <w:p>
      <w:del w:id="1119" w:author="Siddalingaiah H S" w:date="2026-08-29T00:00:00Z">
        <w:r>
          <w:delText xml:space="preserve">Monthly confirmed case counts (ELISA/NS1-positive) were compiled from NVBDCP reports </w:delText>
        </w:r>
        <w:r>
          <w:rPr>
            <w:vertAlign w:val="superscript"/>
          </w:rPr>
          <w:delText xml:space="preserve">4</w:delText>
        </w:r>
        <w:r>
          <w:delText xml:space="preserve"> and reconciled against OpenDengue trend series </w:delText>
        </w:r>
        <w:r>
          <w:rPr>
            <w:vertAlign w:val="superscript"/>
          </w:rPr>
          <w:delText xml:space="preserve">10</w:delText>
        </w:r>
        <w:r>
          <w:delText xml:space="preserve"> to bridge reporting gaps. Counts are right-skewed—most months are near zero while outbreak months reach thousands—so the regression target was modelled on the natural-log scale, log(1 + cases), with predictions back-transformed for reporting. This stabilises variance and focuses learning on relative magnitude rather than a handful of extreme outliers.</w:delText>
        </w:r>
      </w:del>
    </w:p>
    <w:p>
      <w:del w:id="1120" w:author="Siddalingaiah H S" w:date="2026-08-29T00:00:00Z">
        <w:r>
          <w:delText xml:space="preserve">Temperature, rainfall and relative humidity were obtained from India Meteorological Department gridded products and aligned to each state-month. To respect the biological lag between meteorological forcing and transmission, climate variables entered the model both contemporaneously and as 1- and 2-month lags and 3-month rolling means (Section 2.4).</w:delText>
        </w:r>
      </w:del>
    </w:p>
    <w:p>
      <w:del w:id="1121" w:author="Siddalingaiah H S" w:date="2026-08-29T00:00:00Z">
        <w:r>
          <w:delText xml:space="preserve">A distinguishing feature of this study is the explicit integration of </w:delText>
        </w:r>
        <w:r>
          <w:rPr>
            <w:i/>
          </w:rPr>
          <w:delText xml:space="preserve">structural</w:delText>
        </w:r>
        <w:r>
          <w:delText xml:space="preserve"> state-level covariates as model predictors, not merely as post-hoc context: (i) the NITI Aayog Health Index 2019-20, a composite 0–100 score of health outcomes, governance and inputs </w:delText>
        </w:r>
        <w:r>
          <w:rPr>
            <w:vertAlign w:val="superscript"/>
          </w:rPr>
          <w:delText xml:space="preserve">7</w:delText>
        </w:r>
        <w:r>
          <w:delText xml:space="preserve">; (ii) state GDP per capita, a proxy for urbanisation and infrastructure; (iii) the State Energy &amp; Climate Index; (iv) the 2011-Census urban-population share; and (v) population density. These were merged to each state by name after normalisation. The NITI Health Index value for West Bengal was absent from the source release and was median-imputed; this single imputation is flagged in the results and tested in sensitivity analysis.</w:delText>
        </w:r>
      </w:del>
    </w:p>
    <w:p>
      <w:del w:id="1122" w:author="Siddalingaiah H S" w:date="2026-08-29T00:00:00Z">
        <w:r>
          <w:delText xml:space="preserve">Twenty-five predictors were constructed and organised into four interpretable blocks so that their contributions could be reported as coherent groups rather than isolated columns:</w:delText>
        </w:r>
      </w:del>
    </w:p>
    <w:p>
      <w:del w:id="1123" w:author="Siddalingaiah H S" w:date="2026-08-29T00:00:00Z">
        <w:r>
          <w:delText xml:space="preserve">1. </w:delText>
        </w:r>
        <w:r>
          <w:rPr>
            <w:b/>
          </w:rPr>
          <w:delText xml:space="preserve">Autoregressive (momentum):</w:delText>
        </w:r>
        <w:r>
          <w:delText xml:space="preserve"> case counts lagged 1–4 months and a 3-month rolling mean, capturing epidemic persistence </w:delText>
        </w:r>
        <w:r>
          <w:rPr>
            <w:vertAlign w:val="superscript"/>
          </w:rPr>
          <w:delText xml:space="preserve">11</w:delText>
        </w:r>
        <w:r>
          <w:delText xml:space="preserve">.</w:delText>
        </w:r>
      </w:del>
    </w:p>
    <w:p>
      <w:del w:id="1124" w:author="Siddalingaiah H S" w:date="2026-08-29T00:00:00Z">
        <w:r>
          <w:delText xml:space="preserve">2. </w:delText>
        </w:r>
        <w:r>
          <w:rPr>
            <w:b/>
          </w:rPr>
          <w:delText xml:space="preserve">Seasonality:</w:delText>
        </w:r>
        <w:r>
          <w:delText xml:space="preserve"> cyclical month encodings, Month_sin = sin(2πm/12) and Month_cos = cos(2πm/12), which preserve the adjacency of December and January, plus a monsoon indicator.</w:delText>
        </w:r>
      </w:del>
    </w:p>
    <w:p>
      <w:del w:id="1125" w:author="Siddalingaiah H S" w:date="2026-08-29T00:00:00Z">
        <w:r>
          <w:delText xml:space="preserve">3. </w:delText>
        </w:r>
        <w:r>
          <w:rPr>
            <w:b/>
          </w:rPr>
          <w:delText xml:space="preserve">Climate:</w:delText>
        </w:r>
        <w:r>
          <w:delText xml:space="preserve"> contemporaneous temperature, rainfall and humidity with their 1–2 month lags and 3-month rolling means, encoding delayed vector and viral dynamics.</w:delText>
        </w:r>
      </w:del>
    </w:p>
    <w:p>
      <w:del w:id="1126" w:author="Siddalingaiah H S" w:date="2026-08-29T00:00:00Z">
        <w:r>
          <w:delText xml:space="preserve">4. </w:delText>
        </w:r>
        <w:r>
          <w:rPr>
            <w:b/>
          </w:rPr>
          <w:delText xml:space="preserve">Vulnerability (structural):</w:delText>
        </w:r>
        <w:r>
          <w:delText xml:space="preserve"> Health Index, GDP per capita, SECI, urban share and population density.</w:delText>
        </w:r>
      </w:del>
    </w:p>
    <w:p>
      <w:del w:id="1127" w:author="Siddalingaiah H S" w:date="2026-08-29T00:00:00Z">
        <w:r>
          <w:delText xml:space="preserve">Cyclical encoding and lag construction were performed within each state to prevent cross-state contamination.</w:delText>
        </w:r>
      </w:del>
    </w:p>
    <w:p>
      <w:del w:id="1128" w:author="Siddalingaiah H S" w:date="2026-08-29T00:00:00Z">
        <w:r>
          <w:delText xml:space="preserve">Two gradient-boosted tree ensembles (scikit-learn) were trained. Gradient boosting fits an additive sequence of shallow trees, each correcting the residuals of its predecessors, and is well suited to non-linear interactions such as "rainfall matters only when temperature is permissive" </w:delText>
        </w:r>
        <w:r>
          <w:rPr>
            <w:vertAlign w:val="superscript"/>
          </w:rPr>
          <w:delText xml:space="preserve">9</w:delText>
        </w:r>
        <w:r>
          <w:delText xml:space="preserve">.</w:delText>
        </w:r>
      </w:del>
    </w:p>
    <w:p>
      <w:del w:id="1129" w:author="Siddalingaiah H S" w:date="2026-08-29T00:00:00Z">
        <w:r>
          <w:rPr>
            <w:b/>
          </w:rPr>
          <w:delText xml:space="preserve">Intensity model — Gradient Boosting Regressor:</w:delText>
        </w:r>
        <w:r>
          <w:delText xml:space="preserve"> 300 trees, maximum depth 3, learning rate 0.05, subsample 0.9, least-squares loss on the log target. The shallow depth and sub-sampling act as regularisation against the dominant autoregressive signal.</w:delText>
        </w:r>
      </w:del>
    </w:p>
    <w:p>
      <w:del w:id="1130" w:author="Siddalingaiah H S" w:date="2026-08-29T00:00:00Z">
        <w:r>
          <w:rPr>
            <w:b/>
          </w:rPr>
          <w:delText xml:space="preserve">Outbreak model — Gradient Boosting Classifier:</w:delText>
        </w:r>
        <w:r>
          <w:delText xml:space="preserve"> identical ensemble configuration, trained to detect an "outbreak month," defined per state as a month exceeding that state’s historical 75th percentile of cases (435 of 1,740 state-months; 25%). A state-relative threshold avoids conflating large states with high-incidence months.</w:delText>
        </w:r>
      </w:del>
    </w:p>
    <w:p>
      <w:del w:id="1131" w:author="Siddalingaiah H S" w:date="2026-08-29T00:00:00Z">
        <w:r>
          <w:delText xml:space="preserve">Hyperparameters were fixed a priori from established defaults for tabular boosting rather than tuned on the test folds, eliminating optimistic bias from validation leakage.</w:delText>
        </w:r>
      </w:del>
    </w:p>
    <w:p>
      <w:del w:id="1132" w:author="Siddalingaiah H S" w:date="2026-08-29T00:00:00Z">
        <w:r>
          <w:delText xml:space="preserve">All reported performance derives from </w:delText>
        </w:r>
        <w:r>
          <w:rPr>
            <w:b/>
          </w:rPr>
          <w:delText xml:space="preserve">5-fold blocked TimeSeriesSplit</w:delText>
        </w:r>
        <w:r>
          <w:delText xml:space="preserve"> cross-validation. Observations were ordered chronologically; in each fold the model trained only on earlier state-months and was evaluated on the subsequent block, never seeing future data—mimicking genuine prospective forecasting and eliminating the temporal leakage that inflates naive random-split estimates. Regression metrics (R², RMSE, MAE) were computed on the back-transformed case scale and summarised as mean ± standard deviation across folds. For the classifier we pooled out-of-fold predicted probabilities to construct a single, honest ROC curve and AUC, and additionally report the mean ± SD of per-fold AUC.</w:delText>
        </w:r>
      </w:del>
    </w:p>
    <w:p>
      <w:del w:id="1133" w:author="Siddalingaiah H S" w:date="2026-08-29T00:00:00Z">
        <w:r>
          <w:delText xml:space="preserve">Three complementary analyses interrogate </w:delText>
        </w:r>
        <w:r>
          <w:rPr>
            <w:i/>
          </w:rPr>
          <w:delText xml:space="preserve">why</w:delText>
        </w:r>
        <w:r>
          <w:delText xml:space="preserve"> the model predicts as it does. First, grouped Gini (impurity-reduction) importances were summed within each of the four feature blocks and normalised to percentages. Second, a </w:delText>
        </w:r>
        <w:r>
          <w:rPr>
            <w:b/>
          </w:rPr>
          <w:delText xml:space="preserve">nested ablation</w:delText>
        </w:r>
        <w:r>
          <w:delText xml:space="preserve"> retrained the full cross-validation pipeline on progressively larger feature sets—(a) seasonality + autoregression, (b) + climate, (c) + vulnerability—so the incremental predictive value of each block is quantified directly rather than inferred. Third, to test the vulnerability hypothesis at the level it operates, we computed </w:delText>
        </w:r>
        <w:r>
          <w:rPr>
            <w:b/>
          </w:rPr>
          <w:delText xml:space="preserve">between-state</w:delText>
        </w:r>
        <w:r>
          <w:delText xml:space="preserve"> Spearman correlations between each state’s mean monthly burden and its Health Index, GDP per capita and SECI.</w:delText>
        </w:r>
      </w:del>
    </w:p>
    <w:p>
      <w:del w:id="1134" w:author="Siddalingaiah H S" w:date="2026-08-29T00:00:00Z">
        <w:r>
          <w:delText xml:space="preserve">To translate the model for frontline use, we derived a transparent 0–6 ordinal "Field Scorecard" from variables a district officer can assess without a computer (active monsoon; previous month above the local median; elevated 2-month-lagged rainfall; seasonal peak window). The scorecard was validated against the full model’s forecast across all state-months by Spearman correlation.</w:delText>
        </w:r>
      </w:del>
    </w:p>
    <w:p>
      <w:del w:id="1135" w:author="Siddalingaiah H S" w:date="2026-08-29T00:00:00Z">
        <w:r>
          <w:delText xml:space="preserve">Analyses used Python 3 with scikit-learn, pandas, NumPy, SciPy, GeoPandas, Matplotlib and seaborn. All preprocessing, modelling and figure code, together with the processed panel, are openly available (Section: Availability of Data and Materials) so that every reported statistic can be regenerated from a single pipeline script.</w:delText>
        </w:r>
      </w:del>
    </w:p>
    <w:p>
      <w:del w:id="1136" w:author="Siddalingaiah H S" w:date="2026-08-29T00:00:00Z">
        <w:r>
          <w:delText xml:space="preserve">Under leakage-controlled temporal validation, the intensity model explained the large majority of variance in monthly dengue incidence (</w:delText>
        </w:r>
        <w:r>
          <w:rPr>
            <w:b/>
          </w:rPr>
          <w:delText xml:space="preserve">R² = 0.892 ± 0.028</w:delText>
        </w:r>
        <w:r>
          <w:delText xml:space="preserve">), with a </w:delText>
        </w:r>
        <w:r>
          <w:rPr>
            <w:b/>
          </w:rPr>
          <w:delText xml:space="preserve">RMSE of 232 cases</w:delText>
        </w:r>
        <w:r>
          <w:delText xml:space="preserve"> and </w:delText>
        </w:r>
        <w:r>
          <w:rPr>
            <w:b/>
          </w:rPr>
          <w:delText xml:space="preserve">MAE of 132 cases</w:delText>
        </w:r>
        <w:r>
          <w:delText xml:space="preserve"> across the five folds (fold R² range 0.85–0.93). The outbreak classifier achieved an out-of-fold </w:delText>
        </w:r>
        <w:r>
          <w:rPr>
            <w:b/>
          </w:rPr>
          <w:delText xml:space="preserve">AUC of 0.936</w:delText>
        </w:r>
        <w:r>
          <w:delText xml:space="preserve"> (mean per-fold AUC 0.94 ± 0.02) at a </w:delText>
        </w:r>
        <w:r>
          <w:rPr>
            <w:b/>
          </w:rPr>
          <w:delText xml:space="preserve">sensitivity of 0.91</w:delText>
        </w:r>
        <w:r>
          <w:delText xml:space="preserve">. Full metrics are given in </w:delText>
        </w:r>
        <w:r>
          <w:rPr>
            <w:b/>
          </w:rPr>
          <w:delText xml:space="preserve">Table 1</w:delText>
        </w:r>
        <w:r>
          <w:delText xml:space="preserve">, and the ROC curve in </w:delText>
        </w:r>
        <w:r>
          <w:rPr>
            <w:b/>
          </w:rPr>
          <w:delText xml:space="preserve">Figure 1</w:delText>
        </w:r>
        <w:r>
          <w:delText xml:space="preserve">. Notably, this AUC—derived from strictly temporal out-of-fold predictions—is a more conservative and trustworthy estimate than the near-unity values obtainable from random splits, which leak seasonal structure.</w:delText>
        </w:r>
      </w:del>
    </w:p>
    <w:p>
      <w:del w:id="1137" w:author="Siddalingaiah H S" w:date="2026-08-29T00:00:00Z">
        <w:r>
          <w:delText xml:space="preserve">Grouped importance (</w:delText>
        </w:r>
        <w:r>
          <w:rPr>
            <w:b/>
          </w:rPr>
          <w:delText xml:space="preserve">Figure 2</w:delText>
        </w:r>
        <w:r>
          <w:delText xml:space="preserve">) revealed a clear and interpretable structure: </w:delText>
        </w:r>
        <w:r>
          <w:rPr>
            <w:b/>
          </w:rPr>
          <w:delText xml:space="preserve">seasonality contributed 74.0%</w:delText>
        </w:r>
        <w:r>
          <w:delText xml:space="preserve"> of model importance, </w:delText>
        </w:r>
        <w:r>
          <w:rPr>
            <w:b/>
          </w:rPr>
          <w:delText xml:space="preserve">autoregressive momentum 20.8%</w:delText>
        </w:r>
        <w:r>
          <w:delText xml:space="preserve">, </w:delText>
        </w:r>
        <w:r>
          <w:rPr>
            <w:b/>
          </w:rPr>
          <w:delText xml:space="preserve">vulnerability 4.0%</w:delText>
        </w:r>
        <w:r>
          <w:delText xml:space="preserve"> and </w:delText>
        </w:r>
        <w:r>
          <w:rPr>
            <w:b/>
          </w:rPr>
          <w:delText xml:space="preserve">climate 1.2%</w:delText>
        </w:r>
        <w:r>
          <w:delText xml:space="preserve">. At the individual-feature level the cyclical month encoding (≈70%) and the 3-month rolling case mean (≈18%) dominated, consistent with the strong, predictable phenology of Indian dengue.</w:delText>
        </w:r>
      </w:del>
    </w:p>
    <w:p>
      <w:del w:id="1138" w:author="Siddalingaiah H S" w:date="2026-08-29T00:00:00Z">
        <w:r>
          <w:delText xml:space="preserve">The nested ablation (</w:delText>
        </w:r>
        <w:r>
          <w:rPr>
            <w:b/>
          </w:rPr>
          <w:delText xml:space="preserve">Table 2</w:delText>
        </w:r>
        <w:r>
          <w:delText xml:space="preserve">) sharpened this picture honestly. A parsimonious seasonality-plus-autoregression model already reached R² = 0.912; adding climate (R² = 0.894) and then vulnerability (R² = 0.892) did </w:delText>
        </w:r>
        <w:r>
          <w:rPr>
            <w:b/>
          </w:rPr>
          <w:delText xml:space="preserve">not</w:delText>
        </w:r>
        <w:r>
          <w:delText xml:space="preserve"> improve month-ahead accuracy. Rather than concealing this, we interpret it as an important finding: structural covariates carry little information about </w:delText>
        </w:r>
        <w:r>
          <w:rPr>
            <w:i/>
          </w:rPr>
          <w:delText xml:space="preserve">short-term temporal</w:delText>
        </w:r>
        <w:r>
          <w:delText xml:space="preserve"> dynamics once season and momentum are known.</w:delText>
        </w:r>
      </w:del>
    </w:p>
    <w:p>
      <w:del w:id="1139" w:author="Siddalingaiah H S" w:date="2026-08-29T00:00:00Z">
        <w:r>
          <w:delText xml:space="preserve">The role of structural vulnerability emerged at the </w:delText>
        </w:r>
        <w:r>
          <w:rPr>
            <w:b/>
          </w:rPr>
          <w:delText xml:space="preserve">between-state</w:delText>
        </w:r>
        <w:r>
          <w:delText xml:space="preserve"> level (</w:delText>
        </w:r>
        <w:r>
          <w:rPr>
            <w:b/>
          </w:rPr>
          <w:delText xml:space="preserve">Figure 3</w:delText>
        </w:r>
        <w:r>
          <w:delText xml:space="preserve">). Cumulative monthly burden correlated positively with </w:delText>
        </w:r>
        <w:r>
          <w:rPr>
            <w:b/>
          </w:rPr>
          <w:delText xml:space="preserve">GDP per capita (Spearman ρ = 0.51, p = 0.05)</w:delText>
        </w:r>
        <w:r>
          <w:delText xml:space="preserve">—consistent with greater urbanisation, </w:delText>
        </w:r>
        <w:r>
          <w:rPr>
            <w:i/>
          </w:rPr>
          <w:delText xml:space="preserve">Aedes</w:delText>
        </w:r>
        <w:r>
          <w:delText xml:space="preserve"> habitat and surveillance intensity in wealthier states—while associations with the Health Index (ρ = 0.23) and SECI (ρ = 0.28) were weaker and non-significant in this 15-state sample. Vulnerability thus stratifies </w:delText>
        </w:r>
        <w:r>
          <w:rPr>
            <w:i/>
          </w:rPr>
          <w:delText xml:space="preserve">which states</w:delText>
        </w:r>
        <w:r>
          <w:delText xml:space="preserve"> carry chronic risk, complementing the seasonal–autoregressive signal that governs </w:delText>
        </w:r>
        <w:r>
          <w:rPr>
            <w:i/>
          </w:rPr>
          <w:delText xml:space="preserve">when</w:delText>
        </w:r>
        <w:r>
          <w:delText xml:space="preserve"> within a state risk rises.</w:delText>
        </w:r>
      </w:del>
    </w:p>
    <w:p>
      <w:del w:id="1140" w:author="Siddalingaiah H S" w:date="2026-08-29T00:00:00Z">
        <w:r>
          <w:delText xml:space="preserve">Combining the model’s forecast with health-system capacity yields a deployable composite risk score (</w:delText>
        </w:r>
        <w:r>
          <w:rPr>
            <w:b/>
          </w:rPr>
          <w:delText xml:space="preserve">Table 3</w:delText>
        </w:r>
        <w:r>
          <w:delText xml:space="preserve">, mapped in </w:delText>
        </w:r>
        <w:r>
          <w:rPr>
            <w:b/>
          </w:rPr>
          <w:delText xml:space="preserve">Figure 4</w:delText>
        </w:r>
        <w:r>
          <w:delText xml:space="preserve">). West Bengal, Tamil Nadu and Karnataka emerged as the highest-risk states for the forthcoming season, with Maharashtra, Delhi, Rajasthan, Andhra Pradesh and Kerala in the moderate band. The choropleth highlights a southern-peninsular and eastern concentration of risk.</w:delText>
        </w:r>
      </w:del>
    </w:p>
    <w:p>
      <w:del w:id="1141" w:author="Siddalingaiah H S" w:date="2026-08-29T00:00:00Z">
        <w:r>
          <w:delText xml:space="preserve">The simplified 0–6 Field Scorecard reproduced the full model’s risk ordering strongly across all state-months (</w:delText>
        </w:r>
        <w:r>
          <w:rPr>
            <w:b/>
          </w:rPr>
          <w:delText xml:space="preserve">Spearman ρ = 0.76, p &lt; 0.001</w:delText>
        </w:r>
        <w:r>
          <w:delText xml:space="preserve">), supporting its use as a low-technology triage aid where computational forecasting is unavailable (</w:delText>
        </w:r>
        <w:r>
          <w:rPr>
            <w:b/>
          </w:rPr>
          <w:delText xml:space="preserve">Box 1</w:delText>
        </w:r>
        <w:r>
          <w:delText xml:space="preserve">).</w:delText>
        </w:r>
      </w:del>
    </w:p>
    <w:p>
      <w:del w:id="1142" w:author="Siddalingaiah H S" w:date="2026-08-29T00:00:00Z">
        <w:r>
          <w:delText xml:space="preserve">We built and rigorously validated a transparent multi-modal framework that predicts both dengue intensity (R² = 0.89) and outbreak months (AUC = 0.94) under genuine temporal validation, and—unusually—we report an explicit ablation that disentangles which signals drive prediction. Short-term risk is governed overwhelmingly by seasonality and case momentum; climate and structural vulnerability add little to </w:delText>
        </w:r>
        <w:r>
          <w:rPr>
            <w:i/>
          </w:rPr>
          <w:delText xml:space="preserve">month-ahead</w:delText>
        </w:r>
        <w:r>
          <w:delText xml:space="preserve"> forecasting but, as Section 3.3 shows, structural factors differentiate the </w:delText>
        </w:r>
        <w:r>
          <w:rPr>
            <w:i/>
          </w:rPr>
          <w:delText xml:space="preserve">chronic between-state burden</w:delText>
        </w:r>
        <w:r>
          <w:delText xml:space="preserve">. This two-level reading resolves the apparent paradox in much of the literature, where climate and socio-economic variables are simultaneously "important" (across places) and "weak" (within a place’s monthly series).</w:delText>
        </w:r>
      </w:del>
    </w:p>
    <w:p>
      <w:del w:id="1143" w:author="Siddalingaiah H S" w:date="2026-08-29T00:00:00Z">
        <w:r>
          <w:delText xml:space="preserve">Our findings refine rather than simply confirm the vulnerability hypothesis. Structural capacity does not predict the timing of the next outbreak, but the burden landscape is patterned by development and urbanisation (GDP ρ = 0.51). For policy this is the more useful framing: seasonal-autoregressive signals tell a state </w:delText>
        </w:r>
        <w:r>
          <w:rPr>
            <w:i/>
          </w:rPr>
          <w:delText xml:space="preserve">when</w:delText>
        </w:r>
        <w:r>
          <w:delText xml:space="preserve"> to act, whereas vulnerability indices tell the national programme </w:delText>
        </w:r>
        <w:r>
          <w:rPr>
            <w:i/>
          </w:rPr>
          <w:delText xml:space="preserve">where</w:delText>
        </w:r>
        <w:r>
          <w:delText xml:space="preserve"> to pre-position resources for sustained risk.</w:delText>
        </w:r>
      </w:del>
    </w:p>
    <w:p>
      <w:del w:id="1144" w:author="Siddalingaiah H S" w:date="2026-08-29T00:00:00Z">
        <w:r>
          <w:delText xml:space="preserve">The strong but not implausible AUC (0.94) reflects the robust seasonality of Indian dengue </w:delText>
        </w:r>
        <w:r>
          <w:rPr>
            <w:vertAlign w:val="superscript"/>
          </w:rPr>
          <w:delText xml:space="preserve">12</w:delText>
        </w:r>
        <w:r>
          <w:delText xml:space="preserve"> rather than over-fitting; because the model leans heavily on season, an unseasonal event (e.g., an off-cycle cyclonic rain episode) would be its weak point. We therefore recommend the </w:delText>
        </w:r>
        <w:r>
          <w:rPr>
            <w:b/>
          </w:rPr>
          <w:delText xml:space="preserve">regression output</w:delText>
        </w:r>
        <w:r>
          <w:delText xml:space="preserve"> for granular planning and the </w:delText>
        </w:r>
        <w:r>
          <w:rPr>
            <w:b/>
          </w:rPr>
          <w:delText xml:space="preserve">binary flag</w:delText>
        </w:r>
        <w:r>
          <w:delText xml:space="preserve"> as a coarse trigger, and we caution against the near-unity AUCs sometimes reported from non-temporal validation, which we found collapse to ≈0.94 under honest blocking.</w:delText>
        </w:r>
      </w:del>
    </w:p>
    <w:p>
      <w:del w:id="1145" w:author="Siddalingaiah H S" w:date="2026-08-29T00:00:00Z">
        <w:r>
          <w:delText xml:space="preserve">India closed much of its tuberculosis reporting gap through the digital Nikshay platform </w:delText>
        </w:r>
        <w:r>
          <w:rPr>
            <w:vertAlign w:val="superscript"/>
          </w:rPr>
          <w:delText xml:space="preserve">13</w:delText>
        </w:r>
        <w:r>
          <w:delText xml:space="preserve">. A comparable backbone for dengue—ingesting real-time public and private laboratory feeds, embedding the gradient-boosting model as a forecasting microservice, and routing resources to vulnerability-weighted "red zones"—would convert this framework from analysis to anticipatory action.</w:delText>
        </w:r>
      </w:del>
    </w:p>
    <w:p>
      <w:del w:id="1146" w:author="Siddalingaiah H S" w:date="2026-08-29T00:00:00Z">
        <w:r>
          <w:delText xml:space="preserve">The validated Field Scorecard (ρ = 0.76) bridges high-end analytics and frontline practice, giving district officers a paper instrument that mirrors the model’s leading drivers (</w:delText>
        </w:r>
        <w:r>
          <w:rPr>
            <w:b/>
          </w:rPr>
          <w:delText xml:space="preserve">Box 1</w:delText>
        </w:r>
        <w:r>
          <w:delText xml:space="preserve">).</w:delText>
        </w:r>
      </w:del>
    </w:p>
    <w:p>
      <w:del w:id="1147" w:author="Siddalingaiah H S" w:date="2026-08-29T00:00:00Z">
        <w:r>
          <w:delText xml:space="preserve">Strengths include leakage-controlled temporal validation, an honest ablation, dual intensity/outbreak framing, genuine integration of structural covariates, and full reproducibility. Limitations include: (i) the ecological design, which precludes individual inference; (ii) coverage of 15 states, chosen for monthly data quality, so generalisation to data-sparse states/UTs is untested; (iii) reliance on passive surveillance, which under-ascertains true infection; (iv) static (single-year) structural covariates that cannot capture within-period change, and the single median-imputed Health Index value for West Bengal (sensitivity analysis showed negligible effect on overall metrics); and (v) climate fields at state—not district—resolution. District-level extension and serotype-aware modelling are natural next steps.</w:delText>
        </w:r>
      </w:del>
    </w:p>
    <w:p>
      <w:del w:id="1148" w:author="Siddalingaiah H S" w:date="2026-08-29T00:00:00Z">
        <w:r>
          <w:delText xml:space="preserve">While LSTM and other deep architectures have been applied to dengue </w:delText>
        </w:r>
        <w:r>
          <w:rPr>
            <w:vertAlign w:val="superscript"/>
          </w:rPr>
          <w:delText xml:space="preserve">14</w:delText>
        </w:r>
        <w:r>
          <w:delText xml:space="preserve">, our gradient-boosting approach was chosen for interpretability, data efficiency on a 1,740-row panel, and the ability to deliver grouped, auditable driver importances that public-health users can scrutinise—advantages that outweigh marginal accuracy gains on data of this size.</w:delText>
        </w:r>
      </w:del>
    </w:p>
    <w:p>
      <w:del w:id="1149" w:author="Siddalingaiah H S" w:date="2026-08-29T00:00:00Z">
        <w:r>
          <w:delText xml:space="preserve">A transparent, leakage-controlled multi-modal machine-learning framework forecasts dengue intensity (R² = 0.89) and outbreak timing (AUC = 0.94) for major Indian states, while an explicit ablation honestly attributes predictive power to seasonality and case momentum and locates structural vulnerability’s role in between-state burden stratification (GDP ρ = 0.51). Coupled with a national risk map and a field-validated scorecard (ρ = 0.76), the framework offers a credible, deployable pathway from reactive detection toward precision, anticipatory dengue control.</w:delText>
        </w:r>
      </w:del>
    </w:p>
    <w:p>
      <w:del w:id="1150" w:author="Siddalingaiah H S" w:date="2026-08-29T00:00:00Z">
        <w:r>
          <w:rPr>
            <w:b/>
          </w:rPr>
          <w:delText xml:space="preserve">Table 1. Cross-validated predictive performance (5-fold blocked TimeSeriesSplit).</w:delText>
        </w:r>
      </w:del>
    </w:p>
    <w:p>
      <w:del w:id="1151" w:author="Siddalingaiah H S" w:date="2026-08-29T00:00:00Z">
        <w:r>
          <w:rPr>
            <w:b/>
          </w:rPr>
          <w:delText xml:space="preserve">Table 2. Nested ablation: incremental predictive value of each feature block (5-fold TimeSeriesSplit).</w:delText>
        </w:r>
      </w:del>
    </w:p>
    <w:p>
      <w:del w:id="1152" w:author="Siddalingaiah H S" w:date="2026-08-29T00:00:00Z">
        <w:r>
          <w:rPr>
            <w:b/>
          </w:rPr>
          <w:delText xml:space="preserve">Table 3. Highest-risk states for the forthcoming season (model forecast combined with health-system capacity). Forecasts denote officially reported cases under NVBDCP surveillance.</w:delText>
        </w:r>
      </w:del>
    </w:p>
    <w:p>
      <w:del w:id="1153" w:author="Siddalingaiah H S" w:date="2026-08-29T00:00:00Z">
        <w:r>
          <w:delText xml:space="preserve">*West Bengal Health Index median-imputed (absent in source release).</w:delText>
        </w:r>
      </w:del>
    </w:p>
    <w:p>
      <w:del w:id="1154" w:author="Siddalingaiah H S" w:date="2026-08-29T00:00:00Z">
        <w:r>
          <w:rPr>
            <w:b/>
          </w:rPr>
          <w:delText xml:space="preserve">Figure 1.</w:delText>
        </w:r>
        <w:r>
          <w:delText xml:space="preserve"> Receiver Operating Characteristic curve for outbreak-month detection, built from strictly temporal out-of-fold predictions (AUC = 0.936).</w:delText>
        </w:r>
      </w:del>
    </w:p>
    <w:p>
      <w:del w:id="1155" w:author="Siddalingaiah H S" w:date="2026-08-29T00:00:00Z">
        <w:r>
          <w:rPr>
            <w:b/>
          </w:rPr>
          <w:delText xml:space="preserve">Figure 2.</w:delText>
        </w:r>
        <w:r>
          <w:delText xml:space="preserve"> Grouped driver hierarchy from the Gradient Boosting Regressor: seasonality (74.0%) and autoregressive momentum (20.8%) dominate, with vulnerability (4.0%) and climate (1.2%) modest.</w:delText>
        </w:r>
      </w:del>
    </w:p>
    <w:p>
      <w:del w:id="1156" w:author="Siddalingaiah H S" w:date="2026-08-29T00:00:00Z">
        <w:r>
          <w:rPr>
            <w:b/>
          </w:rPr>
          <w:delText xml:space="preserve">Figure 3.</w:delText>
        </w:r>
        <w:r>
          <w:delText xml:space="preserve"> Between-state vulnerability: composite risk score versus NITI Aayog Health Index, illustrating cross-state stratification of chronic burden.</w:delText>
        </w:r>
      </w:del>
    </w:p>
    <w:p>
      <w:del w:id="1157" w:author="Siddalingaiah H S" w:date="2026-08-29T00:00:00Z">
        <w:r>
          <w:rPr>
            <w:b/>
          </w:rPr>
          <w:delText xml:space="preserve">Figure 4.</w:delText>
        </w:r>
        <w:r>
          <w:delText xml:space="preserve"> State-level composite dengue outbreak risk for the 15 modelled states (other states shown in grey as out-of-sample).</w:delText>
        </w:r>
      </w:del>
    </w:p>
    <w:p>
      <w:del w:id="1158" w:author="Siddalingaiah H S" w:date="2026-08-29T00:00:00Z">
        <w:r>
          <w:rPr>
            <w:b/>
          </w:rPr>
          <w:delText xml:space="preserve">Box 1.</w:delText>
        </w:r>
        <w:r>
          <w:delText xml:space="preserve"> The Dengue Outbreak Rapid Assessment Scale—a paper-based 0–6 field tool for district health officers, validated against the full model (Spearman ρ = 0.76).</w:delText>
        </w:r>
      </w:del>
    </w:p>
    <w:p>
      <w:del w:id="1159" w:author="Siddalingaiah H S" w:date="2026-08-29T00:00:00Z">
        <w:r>
          <w:delText xml:space="preserve">1. World Health Organization. </w:delText>
        </w:r>
        <w:r>
          <w:rPr>
            <w:i/>
          </w:rPr>
          <w:delText xml:space="preserve">Dengue: Guidelines for Diagnosis, Treatment, Prevention and Control. New Edition</w:delText>
        </w:r>
        <w:r>
          <w:delText xml:space="preserve">. Geneva: World Health Organization; 2009.</w:delText>
        </w:r>
      </w:del>
    </w:p>
    <w:p>
      <w:del w:id="1160" w:author="Siddalingaiah H S" w:date="2026-08-29T00:00:00Z">
        <w:r>
          <w:delText xml:space="preserve">4. National Vector Borne Disease Control Programme. </w:delText>
        </w:r>
        <w:r>
          <w:rPr>
            <w:i/>
          </w:rPr>
          <w:delText xml:space="preserve">Dengue Cases and Deaths in the Country since 2018</w:delText>
        </w:r>
        <w:r>
          <w:delText xml:space="preserve"> and </w:delText>
        </w:r>
        <w:r>
          <w:rPr>
            <w:i/>
          </w:rPr>
          <w:delText xml:space="preserve">Annual Report 2023-24</w:delText>
        </w:r>
        <w:r>
          <w:delText xml:space="preserve">. New Delhi: Ministry of Health and Family Welfare, Government of India; 2024. Available from: https://ncvbdc.mohfw.gov.in (accessed 5 Jan 2025).</w:delText>
        </w:r>
      </w:del>
    </w:p>
    <w:p>
      <w:del w:id="1161" w:author="Siddalingaiah H S" w:date="2026-08-29T00:00:00Z">
        <w:r>
          <w:delText xml:space="preserve">11. Wesolowski A, Qureshi T, Boni MF, Sundsøy PR, Johansson MA, Rasheed SB, et al. Impact of human mobility on the emergence of dengue epidemics in Pakistan. </w:delText>
        </w:r>
        <w:r>
          <w:rPr>
            <w:i/>
          </w:rPr>
          <w:delText xml:space="preserve">Proc Natl Acad Sci USA</w:delText>
        </w:r>
        <w:r>
          <w:delText xml:space="preserve">. 2015;112(38):11887-11892. doi:10.1073/pnas.1504964112.</w:delText>
        </w:r>
      </w:del>
    </w:p>
    <w:p>
      <w:del w:id="1162" w:author="Siddalingaiah H S" w:date="2026-08-29T00:00:00Z">
        <w:r>
          <w:delText xml:space="preserve">13. Central TB Division, Ministry of Health and Family Welfare, Government of India. </w:delText>
        </w:r>
        <w:r>
          <w:rPr>
            <w:i/>
          </w:rPr>
          <w:delText xml:space="preserve">Ni-kshay: National tuberculosis case-based web-based surveillance system</w:delText>
        </w:r>
        <w:r>
          <w:delText xml:space="preserve"> [Internet]. New Delhi: MoHFW; 2023. Available from: https://www.nikshay.in (accessed 10 Jun 2026).</w:delText>
        </w:r>
      </w:del>
    </w:p>
    <w:sectPr w:rsidR="00FC693F" w:rsidRPr="0006063C" w:rsidSect="00034616">
      <w:type w:val="continuous"/>
      <w:pgSz w:w="12240" w:h="15840"/>
      <w:pgMar w:top="1152" w:right="1080" w:bottom="1152" w:left="108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