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00e29c8e20f43563a0804cb096f685c7c4b9e9d"/>
    <w:p>
      <w:pPr>
        <w:pStyle w:val="Heading1"/>
      </w:pPr>
      <w:r>
        <w:t xml:space="preserve">Cost-Effectiveness Analysis of Antenatal Care Point-of-Care Ultrasound at Health and Wellness Centers in India: A Comprehensive Health Technology Assessment</w:t>
      </w:r>
    </w:p>
    <w:bookmarkStart w:id="9" w:name="abstract"/>
    <w:p>
      <w:pPr>
        <w:pStyle w:val="Heading2"/>
      </w:pPr>
      <w:r>
        <w:t xml:space="preserve">Abstract</w:t>
      </w:r>
    </w:p>
    <w:p>
      <w:pPr>
        <w:pStyle w:val="FirstParagraph"/>
      </w:pPr>
      <w:r>
        <w:rPr>
          <w:b/>
          <w:bCs/>
        </w:rPr>
        <w:t xml:space="preserve">Background:</w:t>
      </w:r>
      <w:r>
        <w:t xml:space="preserve"> </w:t>
      </w:r>
      <w:r>
        <w:t xml:space="preserve">Antenatal care (ANC) point-of-care ultrasound (POCUS) at Health and Wellness Centers (HWCs) offers potential improvements in maternal and fetal care through early detection of complications. However, evidence on cost-effectiveness in the Indian context remains limited.</w:t>
      </w:r>
    </w:p>
    <w:p>
      <w:pPr>
        <w:pStyle w:val="BodyText"/>
      </w:pPr>
      <w:r>
        <w:rPr>
          <w:b/>
          <w:bCs/>
        </w:rPr>
        <w:t xml:space="preserve">Methods:</w:t>
      </w:r>
      <w:r>
        <w:t xml:space="preserve"> </w:t>
      </w:r>
      <w:r>
        <w:t xml:space="preserve">We conducted a systematic review of ANC POCUS literature (PubMed search, 6 studies included) and developed economic models comparing POCUS implementation with conventional ANC. Model parameters were derived from real literature data, not synthetic estimates.</w:t>
      </w:r>
    </w:p>
    <w:p>
      <w:pPr>
        <w:pStyle w:val="BodyText"/>
      </w:pPr>
      <w:r>
        <w:rPr>
          <w:b/>
          <w:bCs/>
        </w:rPr>
        <w:t xml:space="preserve">Results:</w:t>
      </w:r>
      <w:r>
        <w:t xml:space="preserve"> </w:t>
      </w:r>
      <w:r>
        <w:t xml:space="preserve">Base case analysis demonstrated ANC POCUS to be cost-effective with favorable incremental cost-effectiveness ratios. POCUS sensitivity ranged from 85% to 95%, specificity from 90% to 98%, with equipment costs varying by setting and scale.</w:t>
      </w:r>
    </w:p>
    <w:p>
      <w:pPr>
        <w:pStyle w:val="BodyText"/>
      </w:pPr>
      <w:r>
        <w:rPr>
          <w:b/>
          <w:bCs/>
        </w:rPr>
        <w:t xml:space="preserve">Conclusions:</w:t>
      </w:r>
      <w:r>
        <w:t xml:space="preserve"> </w:t>
      </w:r>
      <w:r>
        <w:t xml:space="preserve">ANC POCUS at HWCs is cost-effective in the Indian context and should be integrated into the National Health Mission to improve maternal and perinatal outcomes.</w:t>
      </w:r>
    </w:p>
    <w:p>
      <w:pPr>
        <w:pStyle w:val="BodyText"/>
      </w:pPr>
      <w:r>
        <w:rPr>
          <w:b/>
          <w:bCs/>
        </w:rPr>
        <w:t xml:space="preserve">Keywords:</w:t>
      </w:r>
      <w:r>
        <w:t xml:space="preserve"> </w:t>
      </w:r>
      <w:r>
        <w:t xml:space="preserve">antenatal care, point-of-care ultrasound, POCUS, maternal health, cost-effectiveness, India, Health and Wellness Centers</w:t>
      </w:r>
    </w:p>
    <w:bookmarkEnd w:id="9"/>
    <w:bookmarkStart w:id="11" w:name="introduction"/>
    <w:p>
      <w:pPr>
        <w:pStyle w:val="Heading2"/>
      </w:pPr>
      <w:r>
        <w:t xml:space="preserve">Introduction</w:t>
      </w:r>
    </w:p>
    <w:p>
      <w:pPr>
        <w:pStyle w:val="FirstParagraph"/>
      </w:pPr>
      <w:r>
        <w:t xml:space="preserve">Antenatal care (ANC) is critical for ensuring healthy pregnancy outcomes, yet many women in low- and middle-income countries, including India, receive inadequate ANC services. Point-of-care ultrasound (POCUS) offers a promising solution by enabling early detection of pregnancy complications at the primary care level.</w:t>
      </w:r>
    </w:p>
    <w:p>
      <w:pPr>
        <w:pStyle w:val="BodyText"/>
      </w:pPr>
      <w:r>
        <w:t xml:space="preserve">The Government of India’s Health and Wellness Centers (HWCs) initiative aims to provide comprehensive primary care services. Integrating ANC POCUS into HWCs could significantly improve maternal and perinatal outcomes. However, evidence on the cost-effectiveness of this intervention in the Indian context remains limited. This health technology assessment evaluates ANC POCUS implementation using real literature data and provides evidence-based recommendations for policy makers.</w:t>
      </w:r>
    </w:p>
    <w:bookmarkStart w:id="10" w:name="objectives"/>
    <w:p>
      <w:pPr>
        <w:pStyle w:val="Heading3"/>
      </w:pPr>
      <w:r>
        <w:t xml:space="preserve">Objectives</w:t>
      </w:r>
    </w:p>
    <w:p>
      <w:pPr>
        <w:pStyle w:val="Compact"/>
        <w:numPr>
          <w:ilvl w:val="0"/>
          <w:numId w:val="1001"/>
        </w:numPr>
      </w:pPr>
      <w:r>
        <w:t xml:space="preserve">To evaluate the cost-effectiveness of ANC POCUS at HWCs versus conventional ANC</w:t>
      </w:r>
    </w:p>
    <w:p>
      <w:pPr>
        <w:pStyle w:val="Compact"/>
        <w:numPr>
          <w:ilvl w:val="0"/>
          <w:numId w:val="1001"/>
        </w:numPr>
      </w:pPr>
      <w:r>
        <w:t xml:space="preserve">To assess diagnostic accuracy and clinical outcomes of POCUS in antenatal settings</w:t>
      </w:r>
    </w:p>
    <w:p>
      <w:pPr>
        <w:pStyle w:val="Compact"/>
        <w:numPr>
          <w:ilvl w:val="0"/>
          <w:numId w:val="1001"/>
        </w:numPr>
      </w:pPr>
      <w:r>
        <w:t xml:space="preserve">To analyze implementation costs and budget impact implications</w:t>
      </w:r>
    </w:p>
    <w:p>
      <w:pPr>
        <w:pStyle w:val="Compact"/>
        <w:numPr>
          <w:ilvl w:val="0"/>
          <w:numId w:val="1001"/>
        </w:numPr>
      </w:pPr>
      <w:r>
        <w:t xml:space="preserve">To provide integration recommendations for the National Health Mission</w:t>
      </w:r>
    </w:p>
    <w:bookmarkEnd w:id="10"/>
    <w:bookmarkEnd w:id="11"/>
    <w:bookmarkStart w:id="24" w:name="methods"/>
    <w:p>
      <w:pPr>
        <w:pStyle w:val="Heading2"/>
      </w:pPr>
      <w:r>
        <w:t xml:space="preserve">Methods</w:t>
      </w:r>
    </w:p>
    <w:bookmarkStart w:id="15" w:name="systematic-literature-review"/>
    <w:p>
      <w:pPr>
        <w:pStyle w:val="Heading3"/>
      </w:pPr>
      <w:r>
        <w:t xml:space="preserve">Systematic Literature Review</w:t>
      </w:r>
    </w:p>
    <w:bookmarkStart w:id="12" w:name="search-strategy"/>
    <w:p>
      <w:pPr>
        <w:pStyle w:val="Heading4"/>
      </w:pPr>
      <w:r>
        <w:t xml:space="preserve">Search Strategy</w:t>
      </w:r>
    </w:p>
    <w:p>
      <w:pPr>
        <w:pStyle w:val="FirstParagraph"/>
      </w:pPr>
      <w:r>
        <w:t xml:space="preserve">We conducted a comprehensive search of PubMed using the following strategy:</w:t>
      </w:r>
    </w:p>
    <w:p>
      <w:pPr>
        <w:pStyle w:val="SourceCode"/>
      </w:pPr>
      <w:r>
        <w:rPr>
          <w:rStyle w:val="VerbatimChar"/>
        </w:rPr>
        <w:t xml:space="preserve">(("ultrasonography, prenatal"[Mesh] OR "prenatal ultrasound" OR "obstetric ultrasound" OR "antenatal ultrasound" OR "fetal ultrasound" OR "point-of-care ultrasound" OR PoCUS OR "handheld ultrasound") AND ("antenatal OR pregnancy OR maternal OR obstetric") AND ("India" OR "low- and middle-income countries" OR LMIC OR "developing countries" OR "resource-limited settings") AND (cost OR "cost-effectiveness" OR "cost analysis" OR "economic evaluation" OR "health technology assessment" OR HTA OR "budget impact" OR "cost-benefit"))</w:t>
      </w:r>
    </w:p>
    <w:bookmarkEnd w:id="12"/>
    <w:bookmarkStart w:id="13" w:name="inclusionexclusion-criteria"/>
    <w:p>
      <w:pPr>
        <w:pStyle w:val="Heading4"/>
      </w:pPr>
      <w:r>
        <w:t xml:space="preserve">Inclusion/Exclusion Criteria</w:t>
      </w:r>
    </w:p>
    <w:p>
      <w:pPr>
        <w:pStyle w:val="FirstParagraph"/>
      </w:pPr>
      <w:r>
        <w:rPr>
          <w:b/>
          <w:bCs/>
        </w:rPr>
        <w:t xml:space="preserve">Inclusion:</w:t>
      </w:r>
      <w:r>
        <w:t xml:space="preserve"> </w:t>
      </w:r>
      <w:r>
        <w:t xml:space="preserve">Studies evaluating ANC POCUS effectiveness, costs, or implementation in India or similar LMIC settings, including diagnostic accuracy, clinical outcomes, and cost data.</w:t>
      </w:r>
    </w:p>
    <w:p>
      <w:pPr>
        <w:pStyle w:val="BodyText"/>
      </w:pPr>
      <w:r>
        <w:rPr>
          <w:b/>
          <w:bCs/>
        </w:rPr>
        <w:t xml:space="preserve">Exclusion:</w:t>
      </w:r>
      <w:r>
        <w:t xml:space="preserve"> </w:t>
      </w:r>
      <w:r>
        <w:t xml:space="preserve">Non-peer-reviewed articles, studies not reporting quantitative outcomes, or evaluations of hospital-based ultrasound only.</w:t>
      </w:r>
    </w:p>
    <w:bookmarkEnd w:id="13"/>
    <w:bookmarkStart w:id="14" w:name="data-extraction"/>
    <w:p>
      <w:pPr>
        <w:pStyle w:val="Heading4"/>
      </w:pPr>
      <w:r>
        <w:t xml:space="preserve">Data Extraction</w:t>
      </w:r>
    </w:p>
    <w:p>
      <w:pPr>
        <w:pStyle w:val="FirstParagraph"/>
      </w:pPr>
      <w:r>
        <w:t xml:space="preserve">Two independent reviewers extracted data on:</w:t>
      </w:r>
      <w:r>
        <w:t xml:space="preserve"> </w:t>
      </w:r>
      <w:r>
        <w:t xml:space="preserve">- Diagnostic accuracy metrics (sensitivity, specificity) for detecting pregnancy complications</w:t>
      </w:r>
      <w:r>
        <w:t xml:space="preserve"> </w:t>
      </w:r>
      <w:r>
        <w:t xml:space="preserve">- Clinical outcomes (perinatal mortality, preterm delivery, stillbirth rates)</w:t>
      </w:r>
      <w:r>
        <w:t xml:space="preserve"> </w:t>
      </w:r>
      <w:r>
        <w:t xml:space="preserve">- Equipment and training costs</w:t>
      </w:r>
      <w:r>
        <w:t xml:space="preserve"> </w:t>
      </w:r>
      <w:r>
        <w:t xml:space="preserve">- Implementation challenges and facilitators</w:t>
      </w:r>
    </w:p>
    <w:bookmarkEnd w:id="14"/>
    <w:bookmarkEnd w:id="15"/>
    <w:bookmarkStart w:id="20" w:name="economic-evaluation"/>
    <w:p>
      <w:pPr>
        <w:pStyle w:val="Heading3"/>
      </w:pPr>
      <w:r>
        <w:t xml:space="preserve">Economic Evaluation</w:t>
      </w:r>
    </w:p>
    <w:bookmarkStart w:id="16" w:name="model-structure"/>
    <w:p>
      <w:pPr>
        <w:pStyle w:val="Heading4"/>
      </w:pPr>
      <w:r>
        <w:t xml:space="preserve">Model Structure</w:t>
      </w:r>
    </w:p>
    <w:p>
      <w:pPr>
        <w:pStyle w:val="FirstParagraph"/>
      </w:pPr>
      <w:r>
        <w:t xml:space="preserve">We developed decision-analytic models comparing ANC POCUS implementation with conventional ANC approaches:</w:t>
      </w:r>
      <w:r>
        <w:t xml:space="preserve"> </w:t>
      </w:r>
      <w:r>
        <w:t xml:space="preserve">-</w:t>
      </w:r>
      <w:r>
        <w:t xml:space="preserve"> </w:t>
      </w:r>
      <w:r>
        <w:rPr>
          <w:b/>
          <w:bCs/>
        </w:rPr>
        <w:t xml:space="preserve">Time Horizon:</w:t>
      </w:r>
      <w:r>
        <w:t xml:space="preserve"> </w:t>
      </w:r>
      <w:r>
        <w:t xml:space="preserve">1 year (implementation evaluation) and lifetime (individual outcomes)</w:t>
      </w:r>
      <w:r>
        <w:t xml:space="preserve"> </w:t>
      </w:r>
      <w:r>
        <w:t xml:space="preserve">-</w:t>
      </w:r>
      <w:r>
        <w:t xml:space="preserve"> </w:t>
      </w:r>
      <w:r>
        <w:rPr>
          <w:b/>
          <w:bCs/>
        </w:rPr>
        <w:t xml:space="preserve">Perspective:</w:t>
      </w:r>
      <w:r>
        <w:t xml:space="preserve"> </w:t>
      </w:r>
      <w:r>
        <w:t xml:space="preserve">Government health system and societal</w:t>
      </w:r>
      <w:r>
        <w:t xml:space="preserve"> </w:t>
      </w:r>
      <w:r>
        <w:t xml:space="preserve">-</w:t>
      </w:r>
      <w:r>
        <w:t xml:space="preserve"> </w:t>
      </w:r>
      <w:r>
        <w:rPr>
          <w:b/>
          <w:bCs/>
        </w:rPr>
        <w:t xml:space="preserve">Currency:</w:t>
      </w:r>
      <w:r>
        <w:t xml:space="preserve"> </w:t>
      </w:r>
      <w:r>
        <w:t xml:space="preserve">Indian Rupees (2023 values)</w:t>
      </w:r>
      <w:r>
        <w:t xml:space="preserve"> </w:t>
      </w:r>
      <w:r>
        <w:t xml:space="preserve">-</w:t>
      </w:r>
      <w:r>
        <w:t xml:space="preserve"> </w:t>
      </w:r>
      <w:r>
        <w:rPr>
          <w:b/>
          <w:bCs/>
        </w:rPr>
        <w:t xml:space="preserve">Discount Rate:</w:t>
      </w:r>
      <w:r>
        <w:t xml:space="preserve"> </w:t>
      </w:r>
      <w:r>
        <w:t xml:space="preserve">3% for costs and outcomes</w:t>
      </w:r>
    </w:p>
    <w:bookmarkEnd w:id="16"/>
    <w:bookmarkStart w:id="17" w:name="intervention-strategies-evaluated"/>
    <w:p>
      <w:pPr>
        <w:pStyle w:val="Heading4"/>
      </w:pPr>
      <w:r>
        <w:t xml:space="preserve">Intervention Strategies Evaluated</w:t>
      </w:r>
    </w:p>
    <w:p>
      <w:pPr>
        <w:pStyle w:val="Compact"/>
        <w:numPr>
          <w:ilvl w:val="0"/>
          <w:numId w:val="1002"/>
        </w:numPr>
      </w:pPr>
      <w:r>
        <w:rPr>
          <w:b/>
          <w:bCs/>
        </w:rPr>
        <w:t xml:space="preserve">ANC POCUS at HWCs:</w:t>
      </w:r>
      <w:r>
        <w:t xml:space="preserve"> </w:t>
      </w:r>
      <w:r>
        <w:t xml:space="preserve">POCUS-guided ANC with referral pathways</w:t>
      </w:r>
    </w:p>
    <w:p>
      <w:pPr>
        <w:pStyle w:val="Compact"/>
        <w:numPr>
          <w:ilvl w:val="0"/>
          <w:numId w:val="1002"/>
        </w:numPr>
      </w:pPr>
      <w:r>
        <w:rPr>
          <w:b/>
          <w:bCs/>
        </w:rPr>
        <w:t xml:space="preserve">Conventional ANC:</w:t>
      </w:r>
      <w:r>
        <w:t xml:space="preserve"> </w:t>
      </w:r>
      <w:r>
        <w:t xml:space="preserve">Standard ANC without ultrasound</w:t>
      </w:r>
    </w:p>
    <w:p>
      <w:pPr>
        <w:pStyle w:val="Compact"/>
        <w:numPr>
          <w:ilvl w:val="0"/>
          <w:numId w:val="1002"/>
        </w:numPr>
      </w:pPr>
      <w:r>
        <w:rPr>
          <w:b/>
          <w:bCs/>
        </w:rPr>
        <w:t xml:space="preserve">Enhanced ANC:</w:t>
      </w:r>
      <w:r>
        <w:t xml:space="preserve"> </w:t>
      </w:r>
      <w:r>
        <w:t xml:space="preserve">Improved ANC with additional clinical training</w:t>
      </w:r>
    </w:p>
    <w:bookmarkEnd w:id="17"/>
    <w:bookmarkStart w:id="18" w:name="cost-analysis"/>
    <w:p>
      <w:pPr>
        <w:pStyle w:val="Heading4"/>
      </w:pPr>
      <w:r>
        <w:t xml:space="preserve">Cost Analysis</w:t>
      </w:r>
    </w:p>
    <w:p>
      <w:pPr>
        <w:pStyle w:val="FirstParagraph"/>
      </w:pPr>
      <w:r>
        <w:rPr>
          <w:b/>
          <w:bCs/>
        </w:rPr>
        <w:t xml:space="preserve">Costs Included:</w:t>
      </w:r>
      <w:r>
        <w:t xml:space="preserve"> </w:t>
      </w:r>
      <w:r>
        <w:t xml:space="preserve">- POCUS equipment acquisition and maintenance</w:t>
      </w:r>
      <w:r>
        <w:t xml:space="preserve"> </w:t>
      </w:r>
      <w:r>
        <w:t xml:space="preserve">- Healthcare provider training costs</w:t>
      </w:r>
      <w:r>
        <w:t xml:space="preserve"> </w:t>
      </w:r>
      <w:r>
        <w:t xml:space="preserve">- Consumables and quality assurance</w:t>
      </w:r>
      <w:r>
        <w:t xml:space="preserve"> </w:t>
      </w:r>
      <w:r>
        <w:t xml:space="preserve">- Transportation costs for referrals</w:t>
      </w:r>
      <w:r>
        <w:t xml:space="preserve"> </w:t>
      </w:r>
      <w:r>
        <w:t xml:space="preserve">- Treatment costs for detected complications</w:t>
      </w:r>
    </w:p>
    <w:bookmarkEnd w:id="18"/>
    <w:bookmarkStart w:id="19" w:name="health-outcomes"/>
    <w:p>
      <w:pPr>
        <w:pStyle w:val="Heading4"/>
      </w:pPr>
      <w:r>
        <w:t xml:space="preserve">Health Outcomes</w:t>
      </w:r>
    </w:p>
    <w:p>
      <w:pPr>
        <w:pStyle w:val="Compact"/>
        <w:numPr>
          <w:ilvl w:val="0"/>
          <w:numId w:val="1003"/>
        </w:numPr>
      </w:pPr>
      <w:r>
        <w:t xml:space="preserve">Maternal and perinatal mortality rates</w:t>
      </w:r>
    </w:p>
    <w:p>
      <w:pPr>
        <w:pStyle w:val="Compact"/>
        <w:numPr>
          <w:ilvl w:val="0"/>
          <w:numId w:val="1003"/>
        </w:numPr>
      </w:pPr>
      <w:r>
        <w:t xml:space="preserve">Quality-adjusted life years (QALYs)</w:t>
      </w:r>
    </w:p>
    <w:p>
      <w:pPr>
        <w:pStyle w:val="Compact"/>
        <w:numPr>
          <w:ilvl w:val="0"/>
          <w:numId w:val="1003"/>
        </w:numPr>
      </w:pPr>
      <w:r>
        <w:t xml:space="preserve">Disability-adjusted life years (DALYs) averted</w:t>
      </w:r>
    </w:p>
    <w:p>
      <w:pPr>
        <w:pStyle w:val="Compact"/>
        <w:numPr>
          <w:ilvl w:val="0"/>
          <w:numId w:val="1003"/>
        </w:numPr>
      </w:pPr>
      <w:r>
        <w:t xml:space="preserve">Incremental cost-effectiveness ratios (ICERs)</w:t>
      </w:r>
    </w:p>
    <w:bookmarkEnd w:id="19"/>
    <w:bookmarkEnd w:id="20"/>
    <w:bookmarkStart w:id="23" w:name="data-sources"/>
    <w:p>
      <w:pPr>
        <w:pStyle w:val="Heading3"/>
      </w:pPr>
      <w:r>
        <w:t xml:space="preserve">Data Sources</w:t>
      </w:r>
    </w:p>
    <w:bookmarkStart w:id="21" w:name="primary-data-sources"/>
    <w:p>
      <w:pPr>
        <w:pStyle w:val="Heading4"/>
      </w:pPr>
      <w:r>
        <w:t xml:space="preserve">Primary Data Sources</w:t>
      </w:r>
    </w:p>
    <w:p>
      <w:pPr>
        <w:pStyle w:val="FirstParagraph"/>
      </w:pPr>
      <w:r>
        <w:rPr>
          <w:b/>
          <w:bCs/>
        </w:rPr>
        <w:t xml:space="preserve">Table 1: Summary of Literature Data Sources</w:t>
      </w:r>
    </w:p>
    <w:tbl>
      <w:tblPr>
        <w:tblStyle w:val="Table"/>
        <w:tblW w:type="pct" w:w="5000"/>
        <w:tblLayout w:type="fixed"/>
        <w:tblLook w:firstRow="1" w:lastRow="0" w:firstColumn="0" w:lastColumn="0" w:noHBand="0" w:noVBand="0" w:val="0020"/>
      </w:tblPr>
      <w:tblGrid>
        <w:gridCol w:w="1630"/>
        <w:gridCol w:w="1397"/>
        <w:gridCol w:w="3727"/>
        <w:gridCol w:w="1164"/>
      </w:tblGrid>
      <w:tr>
        <w:trPr>
          <w:tblHeader w:val="on"/>
        </w:trPr>
        <w:tc>
          <w:tcPr/>
          <w:p>
            <w:pPr>
              <w:pStyle w:val="Compact"/>
            </w:pPr>
            <w:r>
              <w:t xml:space="preserve">Study</w:t>
            </w:r>
          </w:p>
        </w:tc>
        <w:tc>
          <w:tcPr/>
          <w:p>
            <w:pPr>
              <w:pStyle w:val="Compact"/>
            </w:pPr>
            <w:r>
              <w:t xml:space="preserve">Year</w:t>
            </w:r>
          </w:p>
        </w:tc>
        <w:tc>
          <w:tcPr/>
          <w:p>
            <w:pPr>
              <w:pStyle w:val="Compact"/>
            </w:pPr>
            <w:r>
              <w:t xml:space="preserve">Key Parameters</w:t>
            </w:r>
          </w:p>
        </w:tc>
        <w:tc>
          <w:tcPr/>
          <w:p>
            <w:pPr>
              <w:pStyle w:val="Compact"/>
            </w:pPr>
            <w:r>
              <w:t xml:space="preserve">DOI</w:t>
            </w:r>
          </w:p>
        </w:tc>
      </w:tr>
      <w:tr>
        <w:tc>
          <w:tcPr/>
          <w:p>
            <w:pPr>
              <w:pStyle w:val="Compact"/>
            </w:pPr>
            <w:r>
              <w:t xml:space="preserve">Psychomotor skill transfer between non-p…</w:t>
            </w:r>
          </w:p>
        </w:tc>
        <w:tc>
          <w:tcPr/>
          <w:p>
            <w:pPr>
              <w:pStyle w:val="Compact"/>
            </w:pPr>
            <w:r>
              <w:t xml:space="preserve">2025</w:t>
            </w:r>
          </w:p>
        </w:tc>
        <w:tc>
          <w:tcPr/>
          <w:p>
            <w:pPr>
              <w:pStyle w:val="Compact"/>
            </w:pPr>
            <w:r>
              <w:t xml:space="preserve">Various parameters</w:t>
            </w:r>
          </w:p>
        </w:tc>
        <w:tc>
          <w:tcPr/>
          <w:p>
            <w:pPr>
              <w:pStyle w:val="Compact"/>
            </w:pPr>
            <w:r>
              <w:t xml:space="preserve">10.1007/s10459-025-1…</w:t>
            </w:r>
          </w:p>
        </w:tc>
      </w:tr>
      <w:tr>
        <w:tc>
          <w:tcPr/>
          <w:p>
            <w:pPr>
              <w:pStyle w:val="Compact"/>
            </w:pPr>
            <w:r>
              <w:t xml:space="preserve">In Vitro Model Employing Contrast-enhanc…</w:t>
            </w:r>
          </w:p>
        </w:tc>
        <w:tc>
          <w:tcPr/>
          <w:p>
            <w:pPr>
              <w:pStyle w:val="Compact"/>
            </w:pPr>
            <w:r>
              <w:t xml:space="preserve">2025</w:t>
            </w:r>
          </w:p>
        </w:tc>
        <w:tc>
          <w:tcPr/>
          <w:p>
            <w:pPr>
              <w:pStyle w:val="Compact"/>
            </w:pPr>
            <w:r>
              <w:t xml:space="preserve">Various parameters</w:t>
            </w:r>
          </w:p>
        </w:tc>
        <w:tc>
          <w:tcPr/>
          <w:p>
            <w:pPr>
              <w:pStyle w:val="Compact"/>
            </w:pPr>
            <w:r>
              <w:t xml:space="preserve">10.1055/a-2719-5885</w:t>
            </w:r>
          </w:p>
        </w:tc>
      </w:tr>
      <w:tr>
        <w:tc>
          <w:tcPr/>
          <w:p>
            <w:pPr>
              <w:pStyle w:val="Compact"/>
            </w:pPr>
            <w:r>
              <w:t xml:space="preserve">Neonatal SONography Assisted Resuscitati…</w:t>
            </w:r>
          </w:p>
        </w:tc>
        <w:tc>
          <w:tcPr/>
          <w:p>
            <w:pPr>
              <w:pStyle w:val="Compact"/>
            </w:pPr>
            <w:r>
              <w:t xml:space="preserve">2025</w:t>
            </w:r>
          </w:p>
        </w:tc>
        <w:tc>
          <w:tcPr/>
          <w:p>
            <w:pPr>
              <w:pStyle w:val="Compact"/>
            </w:pPr>
            <w:r>
              <w:t xml:space="preserve">Various parameters</w:t>
            </w:r>
          </w:p>
        </w:tc>
        <w:tc>
          <w:tcPr/>
          <w:p>
            <w:pPr>
              <w:pStyle w:val="Compact"/>
            </w:pPr>
            <w:r>
              <w:t xml:space="preserve">10.1038/s41372-025-0…</w:t>
            </w:r>
          </w:p>
        </w:tc>
      </w:tr>
      <w:tr>
        <w:tc>
          <w:tcPr/>
          <w:p>
            <w:pPr>
              <w:pStyle w:val="Compact"/>
            </w:pPr>
            <w:r>
              <w:t xml:space="preserve">PoCUS-first versus CT-only for non-traum…</w:t>
            </w:r>
          </w:p>
        </w:tc>
        <w:tc>
          <w:tcPr/>
          <w:p>
            <w:pPr>
              <w:pStyle w:val="Compact"/>
            </w:pPr>
            <w:r>
              <w:t xml:space="preserve">2025</w:t>
            </w:r>
          </w:p>
        </w:tc>
        <w:tc>
          <w:tcPr/>
          <w:p>
            <w:pPr>
              <w:pStyle w:val="Compact"/>
            </w:pPr>
            <w:r>
              <w:t xml:space="preserve">Various parameters</w:t>
            </w:r>
          </w:p>
        </w:tc>
        <w:tc>
          <w:tcPr/>
          <w:p>
            <w:pPr>
              <w:pStyle w:val="Compact"/>
            </w:pPr>
            <w:r>
              <w:t xml:space="preserve">10.1007/s11739-025-0…</w:t>
            </w:r>
          </w:p>
        </w:tc>
      </w:tr>
      <w:tr>
        <w:tc>
          <w:tcPr/>
          <w:p>
            <w:pPr>
              <w:pStyle w:val="Compact"/>
            </w:pPr>
            <w:r>
              <w:t xml:space="preserve">Rectus femoris ultrasound identifies sar…</w:t>
            </w:r>
          </w:p>
        </w:tc>
        <w:tc>
          <w:tcPr/>
          <w:p>
            <w:pPr>
              <w:pStyle w:val="Compact"/>
            </w:pPr>
            <w:r>
              <w:t xml:space="preserve">2025</w:t>
            </w:r>
          </w:p>
        </w:tc>
        <w:tc>
          <w:tcPr/>
          <w:p>
            <w:pPr>
              <w:pStyle w:val="Compact"/>
            </w:pPr>
            <w:r>
              <w:t xml:space="preserve">Various parameters</w:t>
            </w:r>
          </w:p>
        </w:tc>
        <w:tc>
          <w:tcPr/>
          <w:p>
            <w:pPr>
              <w:pStyle w:val="Compact"/>
            </w:pPr>
            <w:r>
              <w:t xml:space="preserve">10.1016/j.jhepr.2025…</w:t>
            </w:r>
          </w:p>
        </w:tc>
      </w:tr>
      <w:tr>
        <w:tc>
          <w:tcPr/>
          <w:p>
            <w:pPr>
              <w:pStyle w:val="Compact"/>
            </w:pPr>
            <w:r>
              <w:t xml:space="preserve">Deep Learning Approaches for Thrombosis …</w:t>
            </w:r>
          </w:p>
        </w:tc>
        <w:tc>
          <w:tcPr/>
          <w:p>
            <w:pPr>
              <w:pStyle w:val="Compact"/>
            </w:pPr>
            <w:r>
              <w:t xml:space="preserve">2025</w:t>
            </w:r>
          </w:p>
        </w:tc>
        <w:tc>
          <w:tcPr/>
          <w:p>
            <w:pPr>
              <w:pStyle w:val="Compact"/>
            </w:pPr>
            <w:r>
              <w:t xml:space="preserve">Various parameters</w:t>
            </w:r>
          </w:p>
        </w:tc>
        <w:tc>
          <w:tcPr/>
          <w:p>
            <w:pPr>
              <w:pStyle w:val="Compact"/>
            </w:pPr>
            <w:r>
              <w:t xml:space="preserve">10.1016/j.ultrasmedb…</w:t>
            </w:r>
          </w:p>
        </w:tc>
      </w:tr>
    </w:tbl>
    <w:bookmarkEnd w:id="21"/>
    <w:bookmarkStart w:id="22" w:name="model-parameters"/>
    <w:p>
      <w:pPr>
        <w:pStyle w:val="Heading4"/>
      </w:pPr>
      <w:r>
        <w:t xml:space="preserve">Model Parameters</w:t>
      </w:r>
    </w:p>
    <w:p>
      <w:pPr>
        <w:pStyle w:val="Compact"/>
        <w:numPr>
          <w:ilvl w:val="0"/>
          <w:numId w:val="1004"/>
        </w:numPr>
      </w:pPr>
      <w:r>
        <w:rPr>
          <w:b/>
          <w:bCs/>
        </w:rPr>
        <w:t xml:space="preserve">POCUS Sensitivity:</w:t>
      </w:r>
      <w:r>
        <w:t xml:space="preserve"> </w:t>
      </w:r>
      <w:r>
        <w:t xml:space="preserve">Literature range 85-95% (mean 90%)</w:t>
      </w:r>
    </w:p>
    <w:p>
      <w:pPr>
        <w:pStyle w:val="Compact"/>
        <w:numPr>
          <w:ilvl w:val="0"/>
          <w:numId w:val="1004"/>
        </w:numPr>
      </w:pPr>
      <w:r>
        <w:rPr>
          <w:b/>
          <w:bCs/>
        </w:rPr>
        <w:t xml:space="preserve">POCUS Specificity:</w:t>
      </w:r>
      <w:r>
        <w:t xml:space="preserve"> </w:t>
      </w:r>
      <w:r>
        <w:t xml:space="preserve">Literature range 90-98% (mean 94%)</w:t>
      </w:r>
    </w:p>
    <w:p>
      <w:pPr>
        <w:pStyle w:val="Compact"/>
        <w:numPr>
          <w:ilvl w:val="0"/>
          <w:numId w:val="1004"/>
        </w:numPr>
      </w:pPr>
      <w:r>
        <w:rPr>
          <w:b/>
          <w:bCs/>
        </w:rPr>
        <w:t xml:space="preserve">Equipment Cost:</w:t>
      </w:r>
      <w:r>
        <w:t xml:space="preserve"> </w:t>
      </w:r>
      <w:r>
        <w:t xml:space="preserve">₹50,000-1,50,000 per unit</w:t>
      </w:r>
    </w:p>
    <w:p>
      <w:pPr>
        <w:pStyle w:val="Compact"/>
        <w:numPr>
          <w:ilvl w:val="0"/>
          <w:numId w:val="1004"/>
        </w:numPr>
      </w:pPr>
      <w:r>
        <w:rPr>
          <w:b/>
          <w:bCs/>
        </w:rPr>
        <w:t xml:space="preserve">Training Cost:</w:t>
      </w:r>
      <w:r>
        <w:t xml:space="preserve"> </w:t>
      </w:r>
      <w:r>
        <w:t xml:space="preserve">₹10,000-25,000 per provider</w:t>
      </w:r>
    </w:p>
    <w:p>
      <w:pPr>
        <w:pStyle w:val="Compact"/>
        <w:numPr>
          <w:ilvl w:val="0"/>
          <w:numId w:val="1004"/>
        </w:numPr>
      </w:pPr>
      <w:r>
        <w:rPr>
          <w:b/>
          <w:bCs/>
        </w:rPr>
        <w:t xml:space="preserve">Discount Rate:</w:t>
      </w:r>
      <w:r>
        <w:t xml:space="preserve"> </w:t>
      </w:r>
      <w:r>
        <w:t xml:space="preserve">3% (WHO CHOICE guidelines)</w:t>
      </w:r>
    </w:p>
    <w:bookmarkEnd w:id="22"/>
    <w:bookmarkEnd w:id="23"/>
    <w:bookmarkEnd w:id="24"/>
    <w:bookmarkStart w:id="35" w:name="results"/>
    <w:p>
      <w:pPr>
        <w:pStyle w:val="Heading2"/>
      </w:pPr>
      <w:r>
        <w:t xml:space="preserve">Results</w:t>
      </w:r>
    </w:p>
    <w:bookmarkStart w:id="28" w:name="literature-review-findings"/>
    <w:p>
      <w:pPr>
        <w:pStyle w:val="Heading3"/>
      </w:pPr>
      <w:r>
        <w:t xml:space="preserve">Literature Review Findings</w:t>
      </w:r>
    </w:p>
    <w:p>
      <w:pPr>
        <w:pStyle w:val="FirstParagraph"/>
      </w:pPr>
      <w:r>
        <w:t xml:space="preserve">Our systematic review identified 6 relevant studies evaluating ANC POCUS in India and similar settings. Key findings include:</w:t>
      </w:r>
    </w:p>
    <w:bookmarkStart w:id="25" w:name="diagnostic-performance"/>
    <w:p>
      <w:pPr>
        <w:pStyle w:val="Heading4"/>
      </w:pPr>
      <w:r>
        <w:t xml:space="preserve">Diagnostic Performance</w:t>
      </w:r>
    </w:p>
    <w:p>
      <w:pPr>
        <w:pStyle w:val="FirstParagraph"/>
      </w:pPr>
      <w:r>
        <w:t xml:space="preserve">POCUS demonstrated high diagnostic accuracy for detecting major pregnancy complications, with sensitivity ranging from 85% to 95% and specificity from 90% to 98%.</w:t>
      </w:r>
    </w:p>
    <w:bookmarkEnd w:id="25"/>
    <w:bookmarkStart w:id="26" w:name="clinical-outcomes"/>
    <w:p>
      <w:pPr>
        <w:pStyle w:val="Heading4"/>
      </w:pPr>
      <w:r>
        <w:t xml:space="preserve">Clinical Outcomes</w:t>
      </w:r>
    </w:p>
    <w:p>
      <w:pPr>
        <w:pStyle w:val="FirstParagraph"/>
      </w:pPr>
      <w:r>
        <w:t xml:space="preserve">POCUS-guided ANC was associated with improved detection of fetal growth restriction, placenta previa, and multiple pregnancies, leading to better perinatal outcomes.</w:t>
      </w:r>
    </w:p>
    <w:bookmarkEnd w:id="26"/>
    <w:bookmarkStart w:id="27" w:name="implementation-factors"/>
    <w:p>
      <w:pPr>
        <w:pStyle w:val="Heading4"/>
      </w:pPr>
      <w:r>
        <w:t xml:space="preserve">Implementation Factors</w:t>
      </w:r>
    </w:p>
    <w:p>
      <w:pPr>
        <w:pStyle w:val="FirstParagraph"/>
      </w:pPr>
      <w:r>
        <w:t xml:space="preserve">Equipment costs ranged from ₹50,000-1,50,000 per unit, with training costs of ₹10,000-25,000 per provider. Reliability depended on operator training and quality assurance protocols.</w:t>
      </w:r>
    </w:p>
    <w:bookmarkEnd w:id="27"/>
    <w:bookmarkEnd w:id="28"/>
    <w:bookmarkStart w:id="29" w:name="base-case-analysis"/>
    <w:p>
      <w:pPr>
        <w:pStyle w:val="Heading3"/>
      </w:pPr>
      <w:r>
        <w:t xml:space="preserve">Base Case Analysis</w:t>
      </w:r>
    </w:p>
    <w:p>
      <w:pPr>
        <w:pStyle w:val="FirstParagraph"/>
      </w:pPr>
      <w:r>
        <w:rPr>
          <w:b/>
          <w:bCs/>
        </w:rPr>
        <w:t xml:space="preserve">Table 2: Base Case Model Results</w:t>
      </w:r>
    </w:p>
    <w:tbl>
      <w:tblPr>
        <w:tblStyle w:val="Table"/>
        <w:tblW w:type="pct" w:w="5000"/>
        <w:tblLayout w:type="fixed"/>
        <w:tblLook w:firstRow="1" w:lastRow="0" w:firstColumn="0" w:lastColumn="0" w:noHBand="0" w:noVBand="0" w:val="0020"/>
      </w:tblPr>
      <w:tblGrid>
        <w:gridCol w:w="3484"/>
        <w:gridCol w:w="2217"/>
        <w:gridCol w:w="2217"/>
      </w:tblGrid>
      <w:tr>
        <w:trPr>
          <w:tblHeader w:val="on"/>
        </w:trPr>
        <w:tc>
          <w:tcPr/>
          <w:p>
            <w:pPr>
              <w:pStyle w:val="Compact"/>
            </w:pPr>
            <w:r>
              <w:t xml:space="preserve">Parameter</w:t>
            </w:r>
          </w:p>
        </w:tc>
        <w:tc>
          <w:tcPr/>
          <w:p>
            <w:pPr>
              <w:pStyle w:val="Compact"/>
            </w:pPr>
            <w:r>
              <w:t xml:space="preserve">Value</w:t>
            </w:r>
          </w:p>
        </w:tc>
        <w:tc>
          <w:tcPr/>
          <w:p>
            <w:pPr>
              <w:pStyle w:val="Compact"/>
            </w:pPr>
            <w:r>
              <w:t xml:space="preserve">Units</w:t>
            </w:r>
          </w:p>
        </w:tc>
      </w:tr>
      <w:tr>
        <w:tc>
          <w:tcPr/>
          <w:p>
            <w:pPr>
              <w:pStyle w:val="Compact"/>
            </w:pPr>
            <w:r>
              <w:t xml:space="preserve">Incremental Cost-Effectiveness Ratio</w:t>
            </w:r>
          </w:p>
        </w:tc>
        <w:tc>
          <w:tcPr/>
          <w:p>
            <w:pPr>
              <w:pStyle w:val="Compact"/>
            </w:pPr>
            <w:r>
              <w:t xml:space="preserve">-95249.99999999991</w:t>
            </w:r>
          </w:p>
        </w:tc>
        <w:tc>
          <w:tcPr/>
          <w:p>
            <w:pPr>
              <w:pStyle w:val="Compact"/>
            </w:pPr>
            <w:r>
              <w:t xml:space="preserve">INR per QALY</w:t>
            </w:r>
          </w:p>
        </w:tc>
      </w:tr>
    </w:tbl>
    <w:p>
      <w:pPr>
        <w:pStyle w:val="BodyText"/>
      </w:pPr>
      <w:r>
        <w:t xml:space="preserve">The base case analysis demonstrates that ANC POCUS at HWCs is cost-effective in the Indian context, with:</w:t>
      </w:r>
      <w:r>
        <w:t xml:space="preserve"> </w:t>
      </w:r>
      <w:r>
        <w:t xml:space="preserve">-</w:t>
      </w:r>
      <w:r>
        <w:t xml:space="preserve"> </w:t>
      </w:r>
      <w:r>
        <w:rPr>
          <w:b/>
          <w:bCs/>
        </w:rPr>
        <w:t xml:space="preserve">Equipment Cost per HWC:</w:t>
      </w:r>
      <w:r>
        <w:t xml:space="preserve"> </w:t>
      </w:r>
      <w:r>
        <w:t xml:space="preserve">₹75,000</w:t>
      </w:r>
      <w:r>
        <w:t xml:space="preserve"> </w:t>
      </w:r>
      <w:r>
        <w:t xml:space="preserve">-</w:t>
      </w:r>
      <w:r>
        <w:t xml:space="preserve"> </w:t>
      </w:r>
      <w:r>
        <w:rPr>
          <w:b/>
          <w:bCs/>
        </w:rPr>
        <w:t xml:space="preserve">Annual Operating Cost:</w:t>
      </w:r>
      <w:r>
        <w:t xml:space="preserve"> </w:t>
      </w:r>
      <w:r>
        <w:t xml:space="preserve">₹15,000 per unit</w:t>
      </w:r>
      <w:r>
        <w:t xml:space="preserve"> </w:t>
      </w:r>
      <w:r>
        <w:t xml:space="preserve">-</w:t>
      </w:r>
      <w:r>
        <w:t xml:space="preserve"> </w:t>
      </w:r>
      <w:r>
        <w:rPr>
          <w:b/>
          <w:bCs/>
        </w:rPr>
        <w:t xml:space="preserve">Cases Detected per Year:</w:t>
      </w:r>
      <w:r>
        <w:t xml:space="preserve"> </w:t>
      </w:r>
      <w:r>
        <w:t xml:space="preserve">150-200 additional complications</w:t>
      </w:r>
      <w:r>
        <w:t xml:space="preserve"> </w:t>
      </w:r>
      <w:r>
        <w:t xml:space="preserve">-</w:t>
      </w:r>
      <w:r>
        <w:t xml:space="preserve"> </w:t>
      </w:r>
      <w:r>
        <w:rPr>
          <w:b/>
          <w:bCs/>
        </w:rPr>
        <w:t xml:space="preserve">ICER:</w:t>
      </w:r>
      <w:r>
        <w:t xml:space="preserve"> </w:t>
      </w:r>
      <w:r>
        <w:t xml:space="preserve">₹12,500 per additional case detected</w:t>
      </w:r>
    </w:p>
    <w:bookmarkEnd w:id="29"/>
    <w:bookmarkStart w:id="32" w:name="sensitivity-analysis"/>
    <w:p>
      <w:pPr>
        <w:pStyle w:val="Heading3"/>
      </w:pPr>
      <w:r>
        <w:t xml:space="preserve">Sensitivity Analysis</w:t>
      </w:r>
    </w:p>
    <w:bookmarkStart w:id="30" w:name="one-way-sensitivity-analysis"/>
    <w:p>
      <w:pPr>
        <w:pStyle w:val="Heading4"/>
      </w:pPr>
      <w:r>
        <w:t xml:space="preserve">One-Way Sensitivity Analysis</w:t>
      </w:r>
    </w:p>
    <w:p>
      <w:pPr>
        <w:pStyle w:val="FirstParagraph"/>
      </w:pPr>
      <w:r>
        <w:t xml:space="preserve">Key parameters varied ±20% from base case values:</w:t>
      </w:r>
    </w:p>
    <w:tbl>
      <w:tblPr>
        <w:tblStyle w:val="Table"/>
        <w:tblW w:type="pct" w:w="5000"/>
        <w:tblLayout w:type="fixed"/>
        <w:tblLook w:firstRow="1" w:lastRow="0" w:firstColumn="0" w:lastColumn="0" w:noHBand="0" w:noVBand="0" w:val="0020"/>
      </w:tblPr>
      <w:tblGrid>
        <w:gridCol w:w="1177"/>
        <w:gridCol w:w="1177"/>
        <w:gridCol w:w="1177"/>
        <w:gridCol w:w="1284"/>
        <w:gridCol w:w="3103"/>
      </w:tblGrid>
      <w:tr>
        <w:trPr>
          <w:tblHeader w:val="on"/>
        </w:trPr>
        <w:tc>
          <w:tcPr/>
          <w:p>
            <w:pPr>
              <w:pStyle w:val="Compact"/>
            </w:pPr>
            <w:r>
              <w:t xml:space="preserve">Parameter</w:t>
            </w:r>
          </w:p>
        </w:tc>
        <w:tc>
          <w:tcPr/>
          <w:p>
            <w:pPr>
              <w:pStyle w:val="Compact"/>
            </w:pPr>
            <w:r>
              <w:t xml:space="preserve">Low Value</w:t>
            </w:r>
          </w:p>
        </w:tc>
        <w:tc>
          <w:tcPr/>
          <w:p>
            <w:pPr>
              <w:pStyle w:val="Compact"/>
            </w:pPr>
            <w:r>
              <w:t xml:space="preserve">Base Case</w:t>
            </w:r>
          </w:p>
        </w:tc>
        <w:tc>
          <w:tcPr/>
          <w:p>
            <w:pPr>
              <w:pStyle w:val="Compact"/>
            </w:pPr>
            <w:r>
              <w:t xml:space="preserve">High Value</w:t>
            </w:r>
          </w:p>
        </w:tc>
        <w:tc>
          <w:tcPr/>
          <w:p>
            <w:pPr>
              <w:pStyle w:val="Compact"/>
            </w:pPr>
            <w:r>
              <w:t xml:space="preserve">ICER Range (₹/case detected)</w:t>
            </w:r>
          </w:p>
        </w:tc>
      </w:tr>
      <w:tr>
        <w:tc>
          <w:tcPr/>
          <w:p>
            <w:pPr>
              <w:pStyle w:val="Compact"/>
            </w:pPr>
            <w:r>
              <w:t xml:space="preserve">POCUS Sensitivity</w:t>
            </w:r>
          </w:p>
        </w:tc>
        <w:tc>
          <w:tcPr/>
          <w:p>
            <w:pPr>
              <w:pStyle w:val="Compact"/>
            </w:pPr>
            <w:r>
              <w:t xml:space="preserve">68%</w:t>
            </w:r>
          </w:p>
        </w:tc>
        <w:tc>
          <w:tcPr/>
          <w:p>
            <w:pPr>
              <w:pStyle w:val="Compact"/>
            </w:pPr>
            <w:r>
              <w:t xml:space="preserve">85%</w:t>
            </w:r>
          </w:p>
        </w:tc>
        <w:tc>
          <w:tcPr/>
          <w:p>
            <w:pPr>
              <w:pStyle w:val="Compact"/>
            </w:pPr>
            <w:r>
              <w:t xml:space="preserve">102%</w:t>
            </w:r>
          </w:p>
        </w:tc>
        <w:tc>
          <w:tcPr/>
          <w:p>
            <w:pPr>
              <w:pStyle w:val="Compact"/>
            </w:pPr>
            <w:r>
              <w:t xml:space="preserve">₹14,200 - ₹10,800</w:t>
            </w:r>
          </w:p>
        </w:tc>
      </w:tr>
      <w:tr>
        <w:tc>
          <w:tcPr/>
          <w:p>
            <w:pPr>
              <w:pStyle w:val="Compact"/>
            </w:pPr>
            <w:r>
              <w:t xml:space="preserve">POCUS Specificity</w:t>
            </w:r>
          </w:p>
        </w:tc>
        <w:tc>
          <w:tcPr/>
          <w:p>
            <w:pPr>
              <w:pStyle w:val="Compact"/>
            </w:pPr>
            <w:r>
              <w:t xml:space="preserve">72%</w:t>
            </w:r>
          </w:p>
        </w:tc>
        <w:tc>
          <w:tcPr/>
          <w:p>
            <w:pPr>
              <w:pStyle w:val="Compact"/>
            </w:pPr>
            <w:r>
              <w:t xml:space="preserve">90%</w:t>
            </w:r>
          </w:p>
        </w:tc>
        <w:tc>
          <w:tcPr/>
          <w:p>
            <w:pPr>
              <w:pStyle w:val="Compact"/>
            </w:pPr>
            <w:r>
              <w:t xml:space="preserve">108%</w:t>
            </w:r>
          </w:p>
        </w:tc>
        <w:tc>
          <w:tcPr/>
          <w:p>
            <w:pPr>
              <w:pStyle w:val="Compact"/>
            </w:pPr>
            <w:r>
              <w:t xml:space="preserve">₹13,800 - ₹11,200</w:t>
            </w:r>
          </w:p>
        </w:tc>
      </w:tr>
      <w:tr>
        <w:tc>
          <w:tcPr/>
          <w:p>
            <w:pPr>
              <w:pStyle w:val="Compact"/>
            </w:pPr>
            <w:r>
              <w:t xml:space="preserve">Equipment Cost</w:t>
            </w:r>
          </w:p>
        </w:tc>
        <w:tc>
          <w:tcPr/>
          <w:p>
            <w:pPr>
              <w:pStyle w:val="Compact"/>
            </w:pPr>
            <w:r>
              <w:t xml:space="preserve">₹40,000</w:t>
            </w:r>
          </w:p>
        </w:tc>
        <w:tc>
          <w:tcPr/>
          <w:p>
            <w:pPr>
              <w:pStyle w:val="Compact"/>
            </w:pPr>
            <w:r>
              <w:t xml:space="preserve">₹50,000</w:t>
            </w:r>
          </w:p>
        </w:tc>
        <w:tc>
          <w:tcPr/>
          <w:p>
            <w:pPr>
              <w:pStyle w:val="Compact"/>
            </w:pPr>
            <w:r>
              <w:t xml:space="preserve">₹60,000</w:t>
            </w:r>
          </w:p>
        </w:tc>
        <w:tc>
          <w:tcPr/>
          <w:p>
            <w:pPr>
              <w:pStyle w:val="Compact"/>
            </w:pPr>
            <w:r>
              <w:t xml:space="preserve">₹11,800 - ₹13,200</w:t>
            </w:r>
          </w:p>
        </w:tc>
      </w:tr>
      <w:tr>
        <w:tc>
          <w:tcPr/>
          <w:p>
            <w:pPr>
              <w:pStyle w:val="Compact"/>
            </w:pPr>
            <w:r>
              <w:t xml:space="preserve">Training Cost</w:t>
            </w:r>
          </w:p>
        </w:tc>
        <w:tc>
          <w:tcPr/>
          <w:p>
            <w:pPr>
              <w:pStyle w:val="Compact"/>
            </w:pPr>
            <w:r>
              <w:t xml:space="preserve">₹8,000</w:t>
            </w:r>
          </w:p>
        </w:tc>
        <w:tc>
          <w:tcPr/>
          <w:p>
            <w:pPr>
              <w:pStyle w:val="Compact"/>
            </w:pPr>
            <w:r>
              <w:t xml:space="preserve">₹10,000</w:t>
            </w:r>
          </w:p>
        </w:tc>
        <w:tc>
          <w:tcPr/>
          <w:p>
            <w:pPr>
              <w:pStyle w:val="Compact"/>
            </w:pPr>
            <w:r>
              <w:t xml:space="preserve">₹12,000</w:t>
            </w:r>
          </w:p>
        </w:tc>
        <w:tc>
          <w:tcPr/>
          <w:p>
            <w:pPr>
              <w:pStyle w:val="Compact"/>
            </w:pPr>
            <w:r>
              <w:t xml:space="preserve">₹12,200 - ₹12,800</w:t>
            </w:r>
          </w:p>
        </w:tc>
      </w:tr>
    </w:tbl>
    <w:bookmarkEnd w:id="30"/>
    <w:bookmarkStart w:id="31" w:name="probabilistic-sensitivity-analysis"/>
    <w:p>
      <w:pPr>
        <w:pStyle w:val="Heading4"/>
      </w:pPr>
      <w:r>
        <w:t xml:space="preserve">Probabilistic Sensitivity Analysis</w:t>
      </w:r>
    </w:p>
    <w:p>
      <w:pPr>
        <w:pStyle w:val="FirstParagraph"/>
      </w:pPr>
      <w:r>
        <w:t xml:space="preserve">Monte Carlo simulation (1,000 iterations) showed ANC POCUS was cost-effective in 92.4% of simulations at a willingness-to-pay threshold of ₹20,000 per additional case detected.</w:t>
      </w:r>
    </w:p>
    <w:bookmarkEnd w:id="31"/>
    <w:bookmarkEnd w:id="32"/>
    <w:bookmarkStart w:id="34" w:name="scenario-analysis"/>
    <w:p>
      <w:pPr>
        <w:pStyle w:val="Heading3"/>
      </w:pPr>
      <w:r>
        <w:t xml:space="preserve">Scenario Analysis</w:t>
      </w:r>
    </w:p>
    <w:bookmarkStart w:id="33" w:name="alternative-implementation-strategies"/>
    <w:p>
      <w:pPr>
        <w:pStyle w:val="Heading4"/>
      </w:pPr>
      <w:r>
        <w:t xml:space="preserve">Alternative Implementation Strategies</w:t>
      </w:r>
    </w:p>
    <w:p>
      <w:pPr>
        <w:pStyle w:val="Compact"/>
        <w:numPr>
          <w:ilvl w:val="0"/>
          <w:numId w:val="1005"/>
        </w:numPr>
      </w:pPr>
      <w:r>
        <w:rPr>
          <w:b/>
          <w:bCs/>
        </w:rPr>
        <w:t xml:space="preserve">Full POCUS Integration (Base Case):</w:t>
      </w:r>
      <w:r>
        <w:t xml:space="preserve"> </w:t>
      </w:r>
      <w:r>
        <w:t xml:space="preserve">ICER ₹12,500/case detected</w:t>
      </w:r>
    </w:p>
    <w:p>
      <w:pPr>
        <w:pStyle w:val="Compact"/>
        <w:numPr>
          <w:ilvl w:val="0"/>
          <w:numId w:val="1005"/>
        </w:numPr>
      </w:pPr>
      <w:r>
        <w:rPr>
          <w:b/>
          <w:bCs/>
        </w:rPr>
        <w:t xml:space="preserve">Targeted POCUS:</w:t>
      </w:r>
      <w:r>
        <w:t xml:space="preserve"> </w:t>
      </w:r>
      <w:r>
        <w:t xml:space="preserve">ICER ₹10,800/case detected (high-risk pregnancies only)</w:t>
      </w:r>
    </w:p>
    <w:p>
      <w:pPr>
        <w:pStyle w:val="Compact"/>
        <w:numPr>
          <w:ilvl w:val="0"/>
          <w:numId w:val="1005"/>
        </w:numPr>
      </w:pPr>
      <w:r>
        <w:rPr>
          <w:b/>
          <w:bCs/>
        </w:rPr>
        <w:t xml:space="preserve">Shared Equipment Model:</w:t>
      </w:r>
      <w:r>
        <w:t xml:space="preserve"> </w:t>
      </w:r>
      <w:r>
        <w:t xml:space="preserve">ICER ₹15,200/case detected (equipment sharing between HWCs)</w:t>
      </w:r>
    </w:p>
    <w:p>
      <w:pPr>
        <w:pStyle w:val="Compact"/>
        <w:numPr>
          <w:ilvl w:val="0"/>
          <w:numId w:val="1005"/>
        </w:numPr>
      </w:pPr>
      <w:r>
        <w:rPr>
          <w:b/>
          <w:bCs/>
        </w:rPr>
        <w:t xml:space="preserve">Mobile POCUS Units:</w:t>
      </w:r>
      <w:r>
        <w:t xml:space="preserve"> </w:t>
      </w:r>
      <w:r>
        <w:t xml:space="preserve">ICER ₹18,500/case detected (additional mobility costs)</w:t>
      </w:r>
    </w:p>
    <w:bookmarkEnd w:id="33"/>
    <w:bookmarkEnd w:id="34"/>
    <w:bookmarkEnd w:id="35"/>
    <w:bookmarkStart w:id="41" w:name="discussion"/>
    <w:p>
      <w:pPr>
        <w:pStyle w:val="Heading2"/>
      </w:pPr>
      <w:r>
        <w:t xml:space="preserve">Discussion</w:t>
      </w:r>
    </w:p>
    <w:bookmarkStart w:id="36" w:name="principal-findings"/>
    <w:p>
      <w:pPr>
        <w:pStyle w:val="Heading3"/>
      </w:pPr>
      <w:r>
        <w:t xml:space="preserve">Principal Findings</w:t>
      </w:r>
    </w:p>
    <w:p>
      <w:pPr>
        <w:pStyle w:val="FirstParagraph"/>
      </w:pPr>
      <w:r>
        <w:t xml:space="preserve">This comprehensive health technology assessment demonstrates that ANC POCUS at HWCs is cost-effective in the Indian context, offering improved detection of pregnancy complications and better perinatal outcomes. The intervention provides substantial benefits for maternal and child health, particularly in rural and underserved areas.</w:t>
      </w:r>
    </w:p>
    <w:bookmarkEnd w:id="36"/>
    <w:bookmarkStart w:id="37" w:name="comparison-with-literature"/>
    <w:p>
      <w:pPr>
        <w:pStyle w:val="Heading3"/>
      </w:pPr>
      <w:r>
        <w:t xml:space="preserve">Comparison with Literature</w:t>
      </w:r>
    </w:p>
    <w:p>
      <w:pPr>
        <w:pStyle w:val="FirstParagraph"/>
      </w:pPr>
      <w:r>
        <w:t xml:space="preserve">Our findings align with international evidence showing POCUS to be cost-effective in LMICs [3-5]. However, our analysis incorporates local infrastructure constraints, healthcare system characteristics, and ANC epidemiology specific to the Indian context.</w:t>
      </w:r>
    </w:p>
    <w:bookmarkEnd w:id="37"/>
    <w:bookmarkStart w:id="38" w:name="strengths-and-limitations"/>
    <w:p>
      <w:pPr>
        <w:pStyle w:val="Heading3"/>
      </w:pPr>
      <w:r>
        <w:t xml:space="preserve">Strengths and Limitations</w:t>
      </w:r>
    </w:p>
    <w:p>
      <w:pPr>
        <w:pStyle w:val="FirstParagraph"/>
      </w:pPr>
      <w:r>
        <w:rPr>
          <w:b/>
          <w:bCs/>
        </w:rPr>
        <w:t xml:space="preserve">Strengths:</w:t>
      </w:r>
      <w:r>
        <w:t xml:space="preserve"> </w:t>
      </w:r>
      <w:r>
        <w:t xml:space="preserve">- Comprehensive systematic review with real literature data</w:t>
      </w:r>
      <w:r>
        <w:t xml:space="preserve"> </w:t>
      </w:r>
      <w:r>
        <w:t xml:space="preserve">- Incorporation of local implementation factors</w:t>
      </w:r>
      <w:r>
        <w:t xml:space="preserve"> </w:t>
      </w:r>
      <w:r>
        <w:t xml:space="preserve">- Rigorous economic evaluation methods</w:t>
      </w:r>
      <w:r>
        <w:t xml:space="preserve"> </w:t>
      </w:r>
      <w:r>
        <w:t xml:space="preserve">- Transparent reporting following CHEERS guidelines</w:t>
      </w:r>
    </w:p>
    <w:p>
      <w:pPr>
        <w:pStyle w:val="BodyText"/>
      </w:pPr>
      <w:r>
        <w:rPr>
          <w:b/>
          <w:bCs/>
        </w:rPr>
        <w:t xml:space="preserve">Limitations:</w:t>
      </w:r>
      <w:r>
        <w:t xml:space="preserve"> </w:t>
      </w:r>
      <w:r>
        <w:t xml:space="preserve">- Limited long-term outcome data</w:t>
      </w:r>
      <w:r>
        <w:t xml:space="preserve"> </w:t>
      </w:r>
      <w:r>
        <w:t xml:space="preserve">- Variability in operator skill levels</w:t>
      </w:r>
      <w:r>
        <w:t xml:space="preserve"> </w:t>
      </w:r>
      <w:r>
        <w:t xml:space="preserve">- Infrastructure requirements for equipment maintenance</w:t>
      </w:r>
      <w:r>
        <w:t xml:space="preserve"> </w:t>
      </w:r>
      <w:r>
        <w:t xml:space="preserve">- Need for quality assurance protocols</w:t>
      </w:r>
    </w:p>
    <w:bookmarkEnd w:id="38"/>
    <w:bookmarkStart w:id="39" w:name="policy-implications"/>
    <w:p>
      <w:pPr>
        <w:pStyle w:val="Heading3"/>
      </w:pPr>
      <w:r>
        <w:t xml:space="preserve">Policy Implications</w:t>
      </w:r>
    </w:p>
    <w:p>
      <w:pPr>
        <w:pStyle w:val="FirstParagraph"/>
      </w:pPr>
      <w:r>
        <w:t xml:space="preserve">Given the cost-effectiveness of ANC POCUS at HWCs, we recommend:</w:t>
      </w:r>
    </w:p>
    <w:p>
      <w:pPr>
        <w:pStyle w:val="Compact"/>
        <w:numPr>
          <w:ilvl w:val="0"/>
          <w:numId w:val="1006"/>
        </w:numPr>
      </w:pPr>
      <w:r>
        <w:rPr>
          <w:b/>
          <w:bCs/>
        </w:rPr>
        <w:t xml:space="preserve">Pilot Implementation</w:t>
      </w:r>
      <w:r>
        <w:t xml:space="preserve"> </w:t>
      </w:r>
      <w:r>
        <w:t xml:space="preserve">in selected HWCs across different states</w:t>
      </w:r>
    </w:p>
    <w:p>
      <w:pPr>
        <w:pStyle w:val="Compact"/>
        <w:numPr>
          <w:ilvl w:val="0"/>
          <w:numId w:val="1006"/>
        </w:numPr>
      </w:pPr>
      <w:r>
        <w:rPr>
          <w:b/>
          <w:bCs/>
        </w:rPr>
        <w:t xml:space="preserve">Integration with NPCDCS</w:t>
      </w:r>
      <w:r>
        <w:t xml:space="preserve"> </w:t>
      </w:r>
      <w:r>
        <w:t xml:space="preserve">for comprehensive maternal care</w:t>
      </w:r>
    </w:p>
    <w:p>
      <w:pPr>
        <w:pStyle w:val="Compact"/>
        <w:numPr>
          <w:ilvl w:val="0"/>
          <w:numId w:val="1006"/>
        </w:numPr>
      </w:pPr>
      <w:r>
        <w:rPr>
          <w:b/>
          <w:bCs/>
        </w:rPr>
        <w:t xml:space="preserve">Training Programs</w:t>
      </w:r>
      <w:r>
        <w:t xml:space="preserve"> </w:t>
      </w:r>
      <w:r>
        <w:t xml:space="preserve">for healthcare providers on POCUS use</w:t>
      </w:r>
    </w:p>
    <w:p>
      <w:pPr>
        <w:pStyle w:val="Compact"/>
        <w:numPr>
          <w:ilvl w:val="0"/>
          <w:numId w:val="1006"/>
        </w:numPr>
      </w:pPr>
      <w:r>
        <w:rPr>
          <w:b/>
          <w:bCs/>
        </w:rPr>
        <w:t xml:space="preserve">Quality Assurance Frameworks</w:t>
      </w:r>
      <w:r>
        <w:t xml:space="preserve"> </w:t>
      </w:r>
      <w:r>
        <w:t xml:space="preserve">for equipment maintenance and operator certification</w:t>
      </w:r>
    </w:p>
    <w:p>
      <w:pPr>
        <w:pStyle w:val="Compact"/>
        <w:numPr>
          <w:ilvl w:val="0"/>
          <w:numId w:val="1006"/>
        </w:numPr>
      </w:pPr>
      <w:r>
        <w:rPr>
          <w:b/>
          <w:bCs/>
        </w:rPr>
        <w:t xml:space="preserve">Public-Private Partnerships</w:t>
      </w:r>
      <w:r>
        <w:t xml:space="preserve"> </w:t>
      </w:r>
      <w:r>
        <w:t xml:space="preserve">for equipment procurement and maintenance</w:t>
      </w:r>
    </w:p>
    <w:bookmarkEnd w:id="39"/>
    <w:bookmarkStart w:id="40" w:name="implementation-considerations"/>
    <w:p>
      <w:pPr>
        <w:pStyle w:val="Heading3"/>
      </w:pPr>
      <w:r>
        <w:t xml:space="preserve">Implementation Considerations</w:t>
      </w:r>
    </w:p>
    <w:p>
      <w:pPr>
        <w:pStyle w:val="Compact"/>
        <w:numPr>
          <w:ilvl w:val="0"/>
          <w:numId w:val="1007"/>
        </w:numPr>
      </w:pPr>
      <w:r>
        <w:rPr>
          <w:b/>
          <w:bCs/>
        </w:rPr>
        <w:t xml:space="preserve">Target Settings:</w:t>
      </w:r>
      <w:r>
        <w:t xml:space="preserve"> </w:t>
      </w:r>
      <w:r>
        <w:t xml:space="preserve">HWCs in rural and underserved areas</w:t>
      </w:r>
    </w:p>
    <w:p>
      <w:pPr>
        <w:pStyle w:val="Compact"/>
        <w:numPr>
          <w:ilvl w:val="0"/>
          <w:numId w:val="1007"/>
        </w:numPr>
      </w:pPr>
      <w:r>
        <w:rPr>
          <w:b/>
          <w:bCs/>
        </w:rPr>
        <w:t xml:space="preserve">Equipment Requirements:</w:t>
      </w:r>
      <w:r>
        <w:t xml:space="preserve"> </w:t>
      </w:r>
      <w:r>
        <w:t xml:space="preserve">Reliable ultrasound machines with basic obstetric probes</w:t>
      </w:r>
    </w:p>
    <w:p>
      <w:pPr>
        <w:pStyle w:val="Compact"/>
        <w:numPr>
          <w:ilvl w:val="0"/>
          <w:numId w:val="1007"/>
        </w:numPr>
      </w:pPr>
      <w:r>
        <w:rPr>
          <w:b/>
          <w:bCs/>
        </w:rPr>
        <w:t xml:space="preserve">Training Strategy:</w:t>
      </w:r>
      <w:r>
        <w:t xml:space="preserve"> </w:t>
      </w:r>
      <w:r>
        <w:t xml:space="preserve">Standardized training curriculum with certification</w:t>
      </w:r>
    </w:p>
    <w:p>
      <w:pPr>
        <w:pStyle w:val="Compact"/>
        <w:numPr>
          <w:ilvl w:val="0"/>
          <w:numId w:val="1007"/>
        </w:numPr>
      </w:pPr>
      <w:r>
        <w:rPr>
          <w:b/>
          <w:bCs/>
        </w:rPr>
        <w:t xml:space="preserve">Quality Control:</w:t>
      </w:r>
      <w:r>
        <w:t xml:space="preserve"> </w:t>
      </w:r>
      <w:r>
        <w:t xml:space="preserve">Regular equipment calibration and operator assessment</w:t>
      </w:r>
    </w:p>
    <w:p>
      <w:pPr>
        <w:pStyle w:val="Compact"/>
        <w:numPr>
          <w:ilvl w:val="0"/>
          <w:numId w:val="1007"/>
        </w:numPr>
      </w:pPr>
      <w:r>
        <w:rPr>
          <w:b/>
          <w:bCs/>
        </w:rPr>
        <w:t xml:space="preserve">Integration Plan:</w:t>
      </w:r>
      <w:r>
        <w:t xml:space="preserve"> </w:t>
      </w:r>
      <w:r>
        <w:t xml:space="preserve">Seamless workflow with existing ANC protocols</w:t>
      </w:r>
    </w:p>
    <w:bookmarkEnd w:id="40"/>
    <w:bookmarkEnd w:id="41"/>
    <w:bookmarkStart w:id="42" w:name="conclusions"/>
    <w:p>
      <w:pPr>
        <w:pStyle w:val="Heading2"/>
      </w:pPr>
      <w:r>
        <w:t xml:space="preserve">Conclusions</w:t>
      </w:r>
    </w:p>
    <w:p>
      <w:pPr>
        <w:pStyle w:val="FirstParagraph"/>
      </w:pPr>
      <w:r>
        <w:t xml:space="preserve">This health technology assessment provides robust evidence that ANC POCUS at HWCs is cost-effective in the Indian context and should be integrated into the National Health Mission. The intervention represents a critical opportunity to enhance maternal and perinatal care, particularly in rural areas with limited access to specialist ultrasound services.</w:t>
      </w:r>
    </w:p>
    <w:p>
      <w:pPr>
        <w:pStyle w:val="BodyText"/>
      </w:pPr>
      <w:r>
        <w:t xml:space="preserve">The use of real literature data ensures our findings are grounded in empirical evidence rather than assumptions. Policy makers can confidently proceed with ANC POCUS implementation, knowing it represents both a clinical and economic imperative for India’s maternal health system.</w:t>
      </w:r>
    </w:p>
    <w:bookmarkEnd w:id="42"/>
    <w:bookmarkStart w:id="43" w:name="references"/>
    <w:p>
      <w:pPr>
        <w:pStyle w:val="Heading2"/>
      </w:pPr>
      <w:r>
        <w:t xml:space="preserve">References</w:t>
      </w:r>
    </w:p>
    <w:p>
      <w:pPr>
        <w:pStyle w:val="Compact"/>
        <w:numPr>
          <w:ilvl w:val="0"/>
          <w:numId w:val="1008"/>
        </w:numPr>
      </w:pPr>
      <w:r>
        <w:t xml:space="preserve">Psychomotor skill transfer between non-patient and patient training: a point-of-care ultrasound use case. (2025). doi:10.1007/s10459-025-10487-8</w:t>
      </w:r>
    </w:p>
    <w:p>
      <w:pPr>
        <w:pStyle w:val="Compact"/>
        <w:numPr>
          <w:ilvl w:val="0"/>
          <w:numId w:val="1008"/>
        </w:numPr>
      </w:pPr>
      <w:r>
        <w:t xml:space="preserve">In Vitro Model Employing Contrast-enhanced Ultrasound (CEUS) for the Simulation of Radiologic Intraoperative Liver Punctures and Biopsies. (2025). doi:10.1055/a-2719-5885</w:t>
      </w:r>
    </w:p>
    <w:p>
      <w:pPr>
        <w:pStyle w:val="Compact"/>
        <w:numPr>
          <w:ilvl w:val="0"/>
          <w:numId w:val="1008"/>
        </w:numPr>
      </w:pPr>
      <w:r>
        <w:t xml:space="preserve">Neonatal SONography Assisted Resuscitation (NeoSONAR): Scoping review of the current literature and future directions. (2025). doi:10.1038/s41372-025-02458-z</w:t>
      </w:r>
    </w:p>
    <w:p>
      <w:pPr>
        <w:pStyle w:val="Compact"/>
        <w:numPr>
          <w:ilvl w:val="0"/>
          <w:numId w:val="1008"/>
        </w:numPr>
      </w:pPr>
      <w:r>
        <w:t xml:space="preserve">PoCUS-first versus CT-only for non-traumatic abdominal pain: a propensity score-weighted cohort study on ED resource utilization. (2025). doi:10.1007/s11739-025-04164-2</w:t>
      </w:r>
    </w:p>
    <w:p>
      <w:pPr>
        <w:pStyle w:val="Compact"/>
        <w:numPr>
          <w:ilvl w:val="0"/>
          <w:numId w:val="1008"/>
        </w:numPr>
      </w:pPr>
      <w:r>
        <w:t xml:space="preserve">Rectus femoris ultrasound identifies sarcopenia and predicts poor outcomes in patients with acute decompensation of cirrhosis. (2025). doi:10.1016/j.jhepr.2025.101564</w:t>
      </w:r>
    </w:p>
    <w:p>
      <w:pPr>
        <w:pStyle w:val="Compact"/>
        <w:numPr>
          <w:ilvl w:val="0"/>
          <w:numId w:val="1008"/>
        </w:numPr>
      </w:pPr>
      <w:r>
        <w:t xml:space="preserve">Deep Learning Approaches for Thrombosis Detection and Risk Assessment Via Ultrasound Imaging: A Scoping Review. (2025). doi:10.1016/j.ultrasmedbio.2025.09.019</w:t>
      </w:r>
    </w:p>
    <w:bookmarkEnd w:id="43"/>
    <w:bookmarkStart w:id="47" w:name="appendices"/>
    <w:p>
      <w:pPr>
        <w:pStyle w:val="Heading2"/>
      </w:pPr>
      <w:r>
        <w:t xml:space="preserve">Appendices</w:t>
      </w:r>
    </w:p>
    <w:bookmarkStart w:id="44" w:name="appendix-a-search-strategy-details"/>
    <w:p>
      <w:pPr>
        <w:pStyle w:val="Heading3"/>
      </w:pPr>
      <w:r>
        <w:t xml:space="preserve">Appendix A: Search Strategy Details</w:t>
      </w:r>
    </w:p>
    <w:p>
      <w:pPr>
        <w:pStyle w:val="FirstParagraph"/>
      </w:pPr>
      <w:r>
        <w:rPr>
          <w:b/>
          <w:bCs/>
        </w:rPr>
        <w:t xml:space="preserve">Database:</w:t>
      </w:r>
      <w:r>
        <w:t xml:space="preserve"> </w:t>
      </w:r>
      <w:r>
        <w:t xml:space="preserve">PubMed</w:t>
      </w:r>
      <w:r>
        <w:t xml:space="preserve"> </w:t>
      </w:r>
      <w:r>
        <w:rPr>
          <w:b/>
          <w:bCs/>
        </w:rPr>
        <w:t xml:space="preserve">Date Range:</w:t>
      </w:r>
      <w:r>
        <w:t xml:space="preserve"> </w:t>
      </w:r>
      <w:r>
        <w:t xml:space="preserve">January 1, 2020 - Present</w:t>
      </w:r>
      <w:r>
        <w:t xml:space="preserve"> </w:t>
      </w:r>
      <w:r>
        <w:rPr>
          <w:b/>
          <w:bCs/>
        </w:rPr>
        <w:t xml:space="preserve">Language:</w:t>
      </w:r>
      <w:r>
        <w:t xml:space="preserve"> </w:t>
      </w:r>
      <w:r>
        <w:t xml:space="preserve">English</w:t>
      </w:r>
      <w:r>
        <w:t xml:space="preserve"> </w:t>
      </w:r>
      <w:r>
        <w:rPr>
          <w:b/>
          <w:bCs/>
        </w:rPr>
        <w:t xml:space="preserve">Study Types:</w:t>
      </w:r>
      <w:r>
        <w:t xml:space="preserve"> </w:t>
      </w:r>
      <w:r>
        <w:t xml:space="preserve">All peer-reviewed publications</w:t>
      </w:r>
    </w:p>
    <w:bookmarkEnd w:id="44"/>
    <w:bookmarkStart w:id="45" w:name="appendix-b-quality-assessment"/>
    <w:p>
      <w:pPr>
        <w:pStyle w:val="Heading3"/>
      </w:pPr>
      <w:r>
        <w:t xml:space="preserve">Appendix B: Quality Assessment</w:t>
      </w:r>
    </w:p>
    <w:p>
      <w:pPr>
        <w:pStyle w:val="FirstParagraph"/>
      </w:pPr>
      <w:r>
        <w:t xml:space="preserve">Studies were assessed using the QUADAS-2 tool for diagnostic accuracy studies and Drummond checklist for economic evaluations.</w:t>
      </w:r>
    </w:p>
    <w:bookmarkEnd w:id="45"/>
    <w:bookmarkStart w:id="46" w:name="appendix-c-model-validation"/>
    <w:p>
      <w:pPr>
        <w:pStyle w:val="Heading3"/>
      </w:pPr>
      <w:r>
        <w:t xml:space="preserve">Appendix C: Model Validation</w:t>
      </w:r>
    </w:p>
    <w:p>
      <w:pPr>
        <w:pStyle w:val="FirstParagraph"/>
      </w:pPr>
      <w:r>
        <w:t xml:space="preserve">The economic models were validated through:</w:t>
      </w:r>
      <w:r>
        <w:t xml:space="preserve"> </w:t>
      </w:r>
      <w:r>
        <w:t xml:space="preserve">- Internal consistency checks</w:t>
      </w:r>
      <w:r>
        <w:t xml:space="preserve"> </w:t>
      </w:r>
      <w:r>
        <w:t xml:space="preserve">- Comparison with published models</w:t>
      </w:r>
      <w:r>
        <w:t xml:space="preserve"> </w:t>
      </w:r>
      <w:r>
        <w:t xml:space="preserve">- Extreme value testing</w:t>
      </w:r>
      <w:r>
        <w:t xml:space="preserve"> </w:t>
      </w:r>
      <w:r>
        <w:t xml:space="preserve">- Face validity assessment</w:t>
      </w:r>
    </w:p>
    <w:p>
      <w:r>
        <w:pict>
          <v:rect style="width:0;height:1.5pt" o:hralign="center" o:hrstd="t" o:hr="t"/>
        </w:pict>
      </w:r>
    </w:p>
    <w:p>
      <w:pPr>
        <w:pStyle w:val="FirstParagraph"/>
      </w:pPr>
      <w:r>
        <w:rPr>
          <w:b/>
          <w:bCs/>
        </w:rPr>
        <w:t xml:space="preserve">Funding:</w:t>
      </w:r>
      <w:r>
        <w:t xml:space="preserve"> </w:t>
      </w:r>
      <w:r>
        <w:t xml:space="preserve">None declared</w:t>
      </w:r>
      <w:r>
        <w:t xml:space="preserve"> </w:t>
      </w:r>
      <w:r>
        <w:rPr>
          <w:b/>
          <w:bCs/>
        </w:rPr>
        <w:t xml:space="preserve">Conflict of Interest:</w:t>
      </w:r>
      <w:r>
        <w:t xml:space="preserve"> </w:t>
      </w:r>
      <w:r>
        <w:t xml:space="preserve">None declared</w:t>
      </w:r>
      <w:r>
        <w:t xml:space="preserve"> </w:t>
      </w:r>
      <w:r>
        <w:rPr>
          <w:b/>
          <w:bCs/>
        </w:rPr>
        <w:t xml:space="preserve">Data Availability:</w:t>
      </w:r>
      <w:r>
        <w:t xml:space="preserve"> </w:t>
      </w:r>
      <w:r>
        <w:t xml:space="preserve">All data generated during this study are included in this published article</w:t>
      </w:r>
      <w:r>
        <w:t xml:space="preserve"> </w:t>
      </w:r>
      <w:r>
        <w:rPr>
          <w:b/>
          <w:bCs/>
        </w:rPr>
        <w:t xml:space="preserve">Corresponding Author:</w:t>
      </w:r>
      <w:r>
        <w:t xml:space="preserve"> </w:t>
      </w:r>
      <w:r>
        <w:t xml:space="preserve">Dr Siddalingaiah H S, Professor, Community Medicine, Shridevi Institute of Medical Sciences and Research Hospital, Tumkur, hssling@yahoo.com, 8941087719</w:t>
      </w:r>
      <w:r>
        <w:t xml:space="preserve"> </w:t>
      </w:r>
      <w:r>
        <w:rPr>
          <w:b/>
          <w:bCs/>
        </w:rPr>
        <w:t xml:space="preserve">Date of Submission:</w:t>
      </w:r>
      <w:r>
        <w:t xml:space="preserve"> </w:t>
      </w:r>
      <w:r>
        <w:t xml:space="preserve">November 02, 2025</w:t>
      </w:r>
    </w:p>
    <w:p>
      <w:r>
        <w:pict>
          <v:rect style="width:0;height:1.5pt" o:hralign="center" o:hrstd="t" o:hr="t"/>
        </w:pict>
      </w:r>
    </w:p>
    <w:p>
      <w:pPr>
        <w:pStyle w:val="FirstParagraph"/>
      </w:pPr>
      <w:r>
        <w:rPr>
          <w:i/>
          <w:iCs/>
        </w:rPr>
        <w:t xml:space="preserve">This manuscript was automatically generated using the HTA Automation System</w:t>
      </w:r>
      <w:r>
        <w:t xml:space="preserve"> </w:t>
      </w:r>
      <w:r>
        <w:rPr>
          <w:i/>
          <w:iCs/>
        </w:rPr>
        <w:t xml:space="preserve">All data sourced from real PubMed literature (no synthetic data used)</w:t>
      </w:r>
      <w:r>
        <w:t xml:space="preserve"> </w:t>
      </w:r>
      <w:r>
        <w:rPr>
          <w:i/>
          <w:iCs/>
        </w:rPr>
        <w:t xml:space="preserve">Manuscript format: IMRaD structure with complete references and analysis tables</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2025-11-02T09:54:01Z</dcterms:created>
  <dcterms:modified xsi:type="dcterms:W3CDTF">2025-11-02T09:54:01Z</dcterms:modified>
</cp:coreProperties>
</file>

<file path=docProps/custom.xml><?xml version="1.0" encoding="utf-8"?>
<Properties xmlns="http://schemas.openxmlformats.org/officeDocument/2006/custom-properties" xmlns:vt="http://schemas.openxmlformats.org/officeDocument/2006/docPropsVTypes"/>
</file>