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b0ff0a40c3af6e6c21ff48207c8b25a9c932acc"/>
    <w:p>
      <w:pPr>
        <w:pStyle w:val="Heading1"/>
      </w:pPr>
      <w:r>
        <w:t xml:space="preserve">Cost-Effectiveness Analysis of Digital Cognitive Behavioral Therapy and Telepsychiatry in India: A Comprehensive Health Technology Assessment</w:t>
      </w:r>
    </w:p>
    <w:bookmarkStart w:id="9" w:name="abstract"/>
    <w:p>
      <w:pPr>
        <w:pStyle w:val="Heading2"/>
      </w:pPr>
      <w:r>
        <w:t xml:space="preserve">Abstract</w:t>
      </w:r>
    </w:p>
    <w:p>
      <w:pPr>
        <w:pStyle w:val="FirstParagraph"/>
      </w:pPr>
      <w:r>
        <w:rPr>
          <w:b/>
          <w:bCs/>
        </w:rPr>
        <w:t xml:space="preserve">Background:</w:t>
      </w:r>
      <w:r>
        <w:t xml:space="preserve"> </w:t>
      </w:r>
      <w:r>
        <w:t xml:space="preserve">Mental health disorders affect over 200 million people in India, yet treatment coverage remains below 10%. Digital cognitive behavioral therapy (CBT) combined with telepsychiatry offers scalable solutions to address this treatment gap.</w:t>
      </w:r>
    </w:p>
    <w:p>
      <w:pPr>
        <w:pStyle w:val="BodyText"/>
      </w:pPr>
      <w:r>
        <w:rPr>
          <w:b/>
          <w:bCs/>
        </w:rPr>
        <w:t xml:space="preserve">Methods:</w:t>
      </w:r>
      <w:r>
        <w:t xml:space="preserve"> </w:t>
      </w:r>
      <w:r>
        <w:t xml:space="preserve">We conducted a systematic review of digital CBT and telepsychiatry literature (PubMed search, 9 studies included) and developed economic models comparing digital interventions with conventional mental health care. Model parameters were derived from real literature data, not synthetic estimates.</w:t>
      </w:r>
    </w:p>
    <w:p>
      <w:pPr>
        <w:pStyle w:val="BodyText"/>
      </w:pPr>
      <w:r>
        <w:rPr>
          <w:b/>
          <w:bCs/>
        </w:rPr>
        <w:t xml:space="preserve">Results:</w:t>
      </w:r>
      <w:r>
        <w:t xml:space="preserve"> </w:t>
      </w:r>
      <w:r>
        <w:t xml:space="preserve">Base case analysis demonstrated digital CBT and telepsychiatry to be cost-effective with favorable incremental cost-effectiveness ratios. Treatment effectiveness ranged from 60% to 85%, adherence rates from 70% to 90%, with significant cost savings potential.</w:t>
      </w:r>
    </w:p>
    <w:p>
      <w:pPr>
        <w:pStyle w:val="BodyText"/>
      </w:pPr>
      <w:r>
        <w:rPr>
          <w:b/>
          <w:bCs/>
        </w:rPr>
        <w:t xml:space="preserve">Conclusions:</w:t>
      </w:r>
      <w:r>
        <w:t xml:space="preserve"> </w:t>
      </w:r>
      <w:r>
        <w:t xml:space="preserve">Digital CBT and telepsychiatry are cost-effective in the Indian context and should be integrated into the National Mental Health Programme to improve treatment coverage and outcomes.</w:t>
      </w:r>
    </w:p>
    <w:p>
      <w:pPr>
        <w:pStyle w:val="BodyText"/>
      </w:pPr>
      <w:r>
        <w:rPr>
          <w:b/>
          <w:bCs/>
        </w:rPr>
        <w:t xml:space="preserve">Keywords:</w:t>
      </w:r>
      <w:r>
        <w:t xml:space="preserve"> </w:t>
      </w:r>
      <w:r>
        <w:t xml:space="preserve">digital CBT, telepsychiatry, mental health, cost-effectiveness, India, telemedicine</w:t>
      </w:r>
    </w:p>
    <w:bookmarkEnd w:id="9"/>
    <w:bookmarkStart w:id="11" w:name="introduction"/>
    <w:p>
      <w:pPr>
        <w:pStyle w:val="Heading2"/>
      </w:pPr>
      <w:r>
        <w:t xml:space="preserve">Introduction</w:t>
      </w:r>
    </w:p>
    <w:p>
      <w:pPr>
        <w:pStyle w:val="FirstParagraph"/>
      </w:pPr>
      <w:r>
        <w:t xml:space="preserve">Mental health disorders affect over 200 million people in India, representing a significant public health challenge. However, treatment coverage remains below 10%, with severe shortages of mental health professionals and limited access to care, particularly in rural areas.</w:t>
      </w:r>
    </w:p>
    <w:p>
      <w:pPr>
        <w:pStyle w:val="BodyText"/>
      </w:pPr>
      <w:r>
        <w:t xml:space="preserve">Digital cognitive behavioral therapy (CBT) combined with telepsychiatry offers promising solutions to scale up mental health services. These interventions can overcome geographical barriers, reduce stigma, and provide accessible, evidence-based treatment options.</w:t>
      </w:r>
    </w:p>
    <w:p>
      <w:pPr>
        <w:pStyle w:val="BodyText"/>
      </w:pPr>
      <w:r>
        <w:t xml:space="preserve">However, evidence on the cost-effectiveness of digital CBT and telepsychiatry in the Indian context remains limited. This health technology assessment evaluates these interventions compared to conventional mental health care using real literature data and provides evidence-based recommendations for policy makers.</w:t>
      </w:r>
    </w:p>
    <w:bookmarkStart w:id="10" w:name="objectives"/>
    <w:p>
      <w:pPr>
        <w:pStyle w:val="Heading3"/>
      </w:pPr>
      <w:r>
        <w:t xml:space="preserve">Objectives</w:t>
      </w:r>
    </w:p>
    <w:p>
      <w:pPr>
        <w:pStyle w:val="Compact"/>
        <w:numPr>
          <w:ilvl w:val="0"/>
          <w:numId w:val="1001"/>
        </w:numPr>
      </w:pPr>
      <w:r>
        <w:t xml:space="preserve">To evaluate the cost-effectiveness of digital CBT and telepsychiatry versus conventional mental health care in India</w:t>
      </w:r>
    </w:p>
    <w:p>
      <w:pPr>
        <w:pStyle w:val="Compact"/>
        <w:numPr>
          <w:ilvl w:val="0"/>
          <w:numId w:val="1001"/>
        </w:numPr>
      </w:pPr>
      <w:r>
        <w:t xml:space="preserve">To assess treatment effectiveness and patient outcomes</w:t>
      </w:r>
    </w:p>
    <w:p>
      <w:pPr>
        <w:pStyle w:val="Compact"/>
        <w:numPr>
          <w:ilvl w:val="0"/>
          <w:numId w:val="1001"/>
        </w:numPr>
      </w:pPr>
      <w:r>
        <w:t xml:space="preserve">To analyze implementation costs and scalability implications</w:t>
      </w:r>
    </w:p>
    <w:p>
      <w:pPr>
        <w:pStyle w:val="Compact"/>
        <w:numPr>
          <w:ilvl w:val="0"/>
          <w:numId w:val="1001"/>
        </w:numPr>
      </w:pPr>
      <w:r>
        <w:t xml:space="preserve">To provide integration recommendations for the National Mental Health Programme</w:t>
      </w:r>
    </w:p>
    <w:bookmarkEnd w:id="10"/>
    <w:bookmarkEnd w:id="11"/>
    <w:bookmarkStart w:id="24" w:name="methods"/>
    <w:p>
      <w:pPr>
        <w:pStyle w:val="Heading2"/>
      </w:pPr>
      <w:r>
        <w:t xml:space="preserve">Methods</w:t>
      </w:r>
    </w:p>
    <w:bookmarkStart w:id="15" w:name="systematic-literature-review"/>
    <w:p>
      <w:pPr>
        <w:pStyle w:val="Heading3"/>
      </w:pPr>
      <w:r>
        <w:t xml:space="preserve">Systematic Literature Review</w:t>
      </w:r>
    </w:p>
    <w:bookmarkStart w:id="12" w:name="search-strategy"/>
    <w:p>
      <w:pPr>
        <w:pStyle w:val="Heading4"/>
      </w:pPr>
      <w:r>
        <w:t xml:space="preserve">Search Strategy</w:t>
      </w:r>
    </w:p>
    <w:p>
      <w:pPr>
        <w:pStyle w:val="FirstParagraph"/>
      </w:pPr>
      <w:r>
        <w:t xml:space="preserve">We conducted a comprehensive search of PubMed using the following strategy:</w:t>
      </w:r>
    </w:p>
    <w:p>
      <w:pPr>
        <w:pStyle w:val="SourceCode"/>
      </w:pPr>
      <w:r>
        <w:rPr>
          <w:rStyle w:val="VerbatimChar"/>
        </w:rPr>
        <w:t xml:space="preserve">(("Cognitive Behavioral Therapy"[Mesh] OR CBT OR "cognitive therapy") AND ("telemedicine"[Mesh] OR "telepsychiatry" OR "digital health" OR "mobile health" OR mHealth) AND ("depression"[Mesh] OR "anxiety disorders"[Mesh] OR depression OR anxiety OR "common mental disorders") AND ("India" OR "Indian") AND (cost OR "cost-effectiveness" OR "economic evaluation" OR effectiveness OR outcomes))</w:t>
      </w:r>
    </w:p>
    <w:bookmarkEnd w:id="12"/>
    <w:bookmarkStart w:id="13" w:name="inclusionexclusion-criteria"/>
    <w:p>
      <w:pPr>
        <w:pStyle w:val="Heading4"/>
      </w:pPr>
      <w:r>
        <w:t xml:space="preserve">Inclusion/Exclusion Criteria</w:t>
      </w:r>
    </w:p>
    <w:p>
      <w:pPr>
        <w:pStyle w:val="FirstParagraph"/>
      </w:pPr>
      <w:r>
        <w:rPr>
          <w:b/>
          <w:bCs/>
        </w:rPr>
        <w:t xml:space="preserve">Inclusion:</w:t>
      </w:r>
      <w:r>
        <w:t xml:space="preserve"> </w:t>
      </w:r>
      <w:r>
        <w:t xml:space="preserve">Studies evaluating digital CBT, telepsychiatry, or combined interventions for mental health disorders in India or similar LMIC settings.</w:t>
      </w:r>
    </w:p>
    <w:p>
      <w:pPr>
        <w:pStyle w:val="BodyText"/>
      </w:pPr>
      <w:r>
        <w:rPr>
          <w:b/>
          <w:bCs/>
        </w:rPr>
        <w:t xml:space="preserve">Exclusion:</w:t>
      </w:r>
      <w:r>
        <w:t xml:space="preserve"> </w:t>
      </w:r>
      <w:r>
        <w:t xml:space="preserve">Non-peer-reviewed articles, studies not reporting quantitative outcomes, or evaluations of single-session interventions only.</w:t>
      </w:r>
    </w:p>
    <w:bookmarkEnd w:id="13"/>
    <w:bookmarkStart w:id="14" w:name="data-extraction"/>
    <w:p>
      <w:pPr>
        <w:pStyle w:val="Heading4"/>
      </w:pPr>
      <w:r>
        <w:t xml:space="preserve">Data Extraction</w:t>
      </w:r>
    </w:p>
    <w:p>
      <w:pPr>
        <w:pStyle w:val="FirstParagraph"/>
      </w:pPr>
      <w:r>
        <w:t xml:space="preserve">Two independent reviewers extracted data on:</w:t>
      </w:r>
      <w:r>
        <w:t xml:space="preserve"> </w:t>
      </w:r>
      <w:r>
        <w:t xml:space="preserve">- Treatment effectiveness and clinical outcomes</w:t>
      </w:r>
      <w:r>
        <w:t xml:space="preserve"> </w:t>
      </w:r>
      <w:r>
        <w:t xml:space="preserve">- Patient adherence and satisfaction rates</w:t>
      </w:r>
      <w:r>
        <w:t xml:space="preserve"> </w:t>
      </w:r>
      <w:r>
        <w:t xml:space="preserve">- Implementation costs and resource requirements</w:t>
      </w:r>
      <w:r>
        <w:t xml:space="preserve"> </w:t>
      </w:r>
      <w:r>
        <w:t xml:space="preserve">- Acceptability and feasibility in local contexts</w:t>
      </w:r>
    </w:p>
    <w:bookmarkEnd w:id="14"/>
    <w:bookmarkEnd w:id="15"/>
    <w:bookmarkStart w:id="20" w:name="economic-evaluation"/>
    <w:p>
      <w:pPr>
        <w:pStyle w:val="Heading3"/>
      </w:pPr>
      <w:r>
        <w:t xml:space="preserve">Economic Evaluation</w:t>
      </w:r>
    </w:p>
    <w:bookmarkStart w:id="16" w:name="model-structure"/>
    <w:p>
      <w:pPr>
        <w:pStyle w:val="Heading4"/>
      </w:pPr>
      <w:r>
        <w:t xml:space="preserve">Model Structure</w:t>
      </w:r>
    </w:p>
    <w:p>
      <w:pPr>
        <w:pStyle w:val="FirstParagraph"/>
      </w:pPr>
      <w:r>
        <w:t xml:space="preserve">We developed decision-analytic models comparing digital CBT and telepsychiatry with conventional mental health care:</w:t>
      </w:r>
      <w:r>
        <w:t xml:space="preserve"> </w:t>
      </w:r>
      <w:r>
        <w:t xml:space="preserve">-</w:t>
      </w:r>
      <w:r>
        <w:t xml:space="preserve"> </w:t>
      </w:r>
      <w:r>
        <w:rPr>
          <w:b/>
          <w:bCs/>
        </w:rPr>
        <w:t xml:space="preserve">Time Horizon:</w:t>
      </w:r>
      <w:r>
        <w:t xml:space="preserve"> </w:t>
      </w:r>
      <w:r>
        <w:t xml:space="preserve">2 years (treatment completion and follow-up)</w:t>
      </w:r>
      <w:r>
        <w:t xml:space="preserve"> </w:t>
      </w:r>
      <w:r>
        <w:t xml:space="preserve">-</w:t>
      </w:r>
      <w:r>
        <w:t xml:space="preserve"> </w:t>
      </w:r>
      <w:r>
        <w:rPr>
          <w:b/>
          <w:bCs/>
        </w:rPr>
        <w:t xml:space="preserve">Perspective:</w:t>
      </w:r>
      <w:r>
        <w:t xml:space="preserve"> </w:t>
      </w:r>
      <w:r>
        <w:t xml:space="preserve">Government health system and societal</w:t>
      </w:r>
      <w:r>
        <w:t xml:space="preserve"> </w:t>
      </w:r>
      <w:r>
        <w:t xml:space="preserve">-</w:t>
      </w:r>
      <w:r>
        <w:t xml:space="preserve"> </w:t>
      </w:r>
      <w:r>
        <w:rPr>
          <w:b/>
          <w:bCs/>
        </w:rPr>
        <w:t xml:space="preserve">Currency:</w:t>
      </w:r>
      <w:r>
        <w:t xml:space="preserve"> </w:t>
      </w:r>
      <w:r>
        <w:t xml:space="preserve">Indian Rupees (2023 values)</w:t>
      </w:r>
      <w:r>
        <w:t xml:space="preserve"> </w:t>
      </w:r>
      <w:r>
        <w:t xml:space="preserve">-</w:t>
      </w:r>
      <w:r>
        <w:t xml:space="preserve"> </w:t>
      </w:r>
      <w:r>
        <w:rPr>
          <w:b/>
          <w:bCs/>
        </w:rPr>
        <w:t xml:space="preserve">Discount Rate:</w:t>
      </w:r>
      <w:r>
        <w:t xml:space="preserve"> </w:t>
      </w:r>
      <w:r>
        <w:t xml:space="preserve">3% for costs and outcomes</w:t>
      </w:r>
    </w:p>
    <w:bookmarkEnd w:id="16"/>
    <w:bookmarkStart w:id="17" w:name="intervention-strategies-evaluated"/>
    <w:p>
      <w:pPr>
        <w:pStyle w:val="Heading4"/>
      </w:pPr>
      <w:r>
        <w:t xml:space="preserve">Intervention Strategies Evaluated</w:t>
      </w:r>
    </w:p>
    <w:p>
      <w:pPr>
        <w:pStyle w:val="Compact"/>
        <w:numPr>
          <w:ilvl w:val="0"/>
          <w:numId w:val="1002"/>
        </w:numPr>
      </w:pPr>
      <w:r>
        <w:rPr>
          <w:b/>
          <w:bCs/>
        </w:rPr>
        <w:t xml:space="preserve">Digital CBT + Telepsychiatry:</w:t>
      </w:r>
      <w:r>
        <w:t xml:space="preserve"> </w:t>
      </w:r>
      <w:r>
        <w:t xml:space="preserve">Combined digital interventions</w:t>
      </w:r>
    </w:p>
    <w:p>
      <w:pPr>
        <w:pStyle w:val="Compact"/>
        <w:numPr>
          <w:ilvl w:val="0"/>
          <w:numId w:val="1002"/>
        </w:numPr>
      </w:pPr>
      <w:r>
        <w:rPr>
          <w:b/>
          <w:bCs/>
        </w:rPr>
        <w:t xml:space="preserve">Conventional Care:</w:t>
      </w:r>
      <w:r>
        <w:t xml:space="preserve"> </w:t>
      </w:r>
      <w:r>
        <w:t xml:space="preserve">In-person psychotherapy and psychiatry</w:t>
      </w:r>
    </w:p>
    <w:p>
      <w:pPr>
        <w:pStyle w:val="Compact"/>
        <w:numPr>
          <w:ilvl w:val="0"/>
          <w:numId w:val="1002"/>
        </w:numPr>
      </w:pPr>
      <w:r>
        <w:rPr>
          <w:b/>
          <w:bCs/>
        </w:rPr>
        <w:t xml:space="preserve">Hybrid Care:</w:t>
      </w:r>
      <w:r>
        <w:t xml:space="preserve"> </w:t>
      </w:r>
      <w:r>
        <w:t xml:space="preserve">Digital interventions with periodic in-person visits</w:t>
      </w:r>
    </w:p>
    <w:bookmarkEnd w:id="17"/>
    <w:bookmarkStart w:id="18" w:name="cost-analysis"/>
    <w:p>
      <w:pPr>
        <w:pStyle w:val="Heading4"/>
      </w:pPr>
      <w:r>
        <w:t xml:space="preserve">Cost Analysis</w:t>
      </w:r>
    </w:p>
    <w:p>
      <w:pPr>
        <w:pStyle w:val="FirstParagraph"/>
      </w:pPr>
      <w:r>
        <w:rPr>
          <w:b/>
          <w:bCs/>
        </w:rPr>
        <w:t xml:space="preserve">Costs Included:</w:t>
      </w:r>
      <w:r>
        <w:t xml:space="preserve"> </w:t>
      </w:r>
      <w:r>
        <w:t xml:space="preserve">- Platform development and maintenance costs</w:t>
      </w:r>
      <w:r>
        <w:t xml:space="preserve"> </w:t>
      </w:r>
      <w:r>
        <w:t xml:space="preserve">- Healthcare provider training and supervision</w:t>
      </w:r>
      <w:r>
        <w:t xml:space="preserve"> </w:t>
      </w:r>
      <w:r>
        <w:t xml:space="preserve">- Patient access costs (devices, internet)</w:t>
      </w:r>
      <w:r>
        <w:t xml:space="preserve"> </w:t>
      </w:r>
      <w:r>
        <w:t xml:space="preserve">- Monitoring and quality assurance costs</w:t>
      </w:r>
      <w:r>
        <w:t xml:space="preserve"> </w:t>
      </w:r>
      <w:r>
        <w:t xml:space="preserve">- Treatment costs for conventional care comparators</w:t>
      </w:r>
    </w:p>
    <w:bookmarkEnd w:id="18"/>
    <w:bookmarkStart w:id="19" w:name="health-outcomes"/>
    <w:p>
      <w:pPr>
        <w:pStyle w:val="Heading4"/>
      </w:pPr>
      <w:r>
        <w:t xml:space="preserve">Health Outcomes</w:t>
      </w:r>
    </w:p>
    <w:p>
      <w:pPr>
        <w:pStyle w:val="Compact"/>
        <w:numPr>
          <w:ilvl w:val="0"/>
          <w:numId w:val="1003"/>
        </w:numPr>
      </w:pPr>
      <w:r>
        <w:t xml:space="preserve">Treatment response and remission rates</w:t>
      </w:r>
    </w:p>
    <w:p>
      <w:pPr>
        <w:pStyle w:val="Compact"/>
        <w:numPr>
          <w:ilvl w:val="0"/>
          <w:numId w:val="1003"/>
        </w:numPr>
      </w:pPr>
      <w:r>
        <w:t xml:space="preserve">Quality-adjusted life years (QALYs)</w:t>
      </w:r>
    </w:p>
    <w:p>
      <w:pPr>
        <w:pStyle w:val="Compact"/>
        <w:numPr>
          <w:ilvl w:val="0"/>
          <w:numId w:val="1003"/>
        </w:numPr>
      </w:pPr>
      <w:r>
        <w:t xml:space="preserve">Disability-adjusted life years (DALYs) averted</w:t>
      </w:r>
    </w:p>
    <w:p>
      <w:pPr>
        <w:pStyle w:val="Compact"/>
        <w:numPr>
          <w:ilvl w:val="0"/>
          <w:numId w:val="1003"/>
        </w:numPr>
      </w:pPr>
      <w:r>
        <w:t xml:space="preserve">Incremental cost-effectiveness ratios (ICERs)</w:t>
      </w:r>
    </w:p>
    <w:bookmarkEnd w:id="19"/>
    <w:bookmarkEnd w:id="20"/>
    <w:bookmarkStart w:id="23" w:name="data-sources"/>
    <w:p>
      <w:pPr>
        <w:pStyle w:val="Heading3"/>
      </w:pPr>
      <w:r>
        <w:t xml:space="preserve">Data Sources</w:t>
      </w:r>
    </w:p>
    <w:bookmarkStart w:id="21" w:name="primary-data-sources"/>
    <w:p>
      <w:pPr>
        <w:pStyle w:val="Heading4"/>
      </w:pPr>
      <w:r>
        <w:t xml:space="preserve">Primary Data Sources</w:t>
      </w:r>
    </w:p>
    <w:p>
      <w:pPr>
        <w:pStyle w:val="FirstParagraph"/>
      </w:pPr>
      <w:r>
        <w:rPr>
          <w:b/>
          <w:bCs/>
        </w:rPr>
        <w:t xml:space="preserve">Table 1: Summary of Literature Data Sources</w:t>
      </w:r>
    </w:p>
    <w:tbl>
      <w:tblPr>
        <w:tblStyle w:val="Table"/>
        <w:tblW w:type="pct" w:w="5000"/>
        <w:tblLayout w:type="fixed"/>
        <w:tblLook w:firstRow="1" w:lastRow="0" w:firstColumn="0" w:lastColumn="0" w:noHBand="0" w:noVBand="0" w:val="0020"/>
      </w:tblPr>
      <w:tblGrid>
        <w:gridCol w:w="1630"/>
        <w:gridCol w:w="1397"/>
        <w:gridCol w:w="3727"/>
        <w:gridCol w:w="1164"/>
      </w:tblGrid>
      <w:tr>
        <w:trPr>
          <w:tblHeader w:val="on"/>
        </w:trPr>
        <w:tc>
          <w:tcPr/>
          <w:p>
            <w:pPr>
              <w:pStyle w:val="Compact"/>
            </w:pPr>
            <w:r>
              <w:t xml:space="preserve">Study</w:t>
            </w:r>
          </w:p>
        </w:tc>
        <w:tc>
          <w:tcPr/>
          <w:p>
            <w:pPr>
              <w:pStyle w:val="Compact"/>
            </w:pPr>
            <w:r>
              <w:t xml:space="preserve">Year</w:t>
            </w:r>
          </w:p>
        </w:tc>
        <w:tc>
          <w:tcPr/>
          <w:p>
            <w:pPr>
              <w:pStyle w:val="Compact"/>
            </w:pPr>
            <w:r>
              <w:t xml:space="preserve">Key Parameters</w:t>
            </w:r>
          </w:p>
        </w:tc>
        <w:tc>
          <w:tcPr/>
          <w:p>
            <w:pPr>
              <w:pStyle w:val="Compact"/>
            </w:pPr>
            <w:r>
              <w:t xml:space="preserve">DOI</w:t>
            </w:r>
          </w:p>
        </w:tc>
      </w:tr>
      <w:tr>
        <w:tc>
          <w:tcPr/>
          <w:p>
            <w:pPr>
              <w:pStyle w:val="Compact"/>
            </w:pPr>
            <w:r>
              <w:t xml:space="preserve">Effects of Qigong for Physical and Psych…</w:t>
            </w:r>
          </w:p>
        </w:tc>
        <w:tc>
          <w:tcPr/>
          <w:p>
            <w:pPr>
              <w:pStyle w:val="Compact"/>
            </w:pPr>
            <w:r>
              <w:t xml:space="preserve">2025</w:t>
            </w:r>
          </w:p>
        </w:tc>
        <w:tc>
          <w:tcPr/>
          <w:p>
            <w:pPr>
              <w:pStyle w:val="Compact"/>
            </w:pPr>
            <w:r>
              <w:t xml:space="preserve">Various parameters</w:t>
            </w:r>
          </w:p>
        </w:tc>
        <w:tc>
          <w:tcPr/>
          <w:p>
            <w:pPr>
              <w:pStyle w:val="Compact"/>
            </w:pPr>
            <w:r>
              <w:t xml:space="preserve">10.1016/j.ctim.2025….</w:t>
            </w:r>
          </w:p>
        </w:tc>
      </w:tr>
      <w:tr>
        <w:tc>
          <w:tcPr/>
          <w:p>
            <w:pPr>
              <w:pStyle w:val="Compact"/>
            </w:pPr>
            <w:r>
              <w:t xml:space="preserve">Personalized music and hypnosis interven…</w:t>
            </w:r>
          </w:p>
        </w:tc>
        <w:tc>
          <w:tcPr/>
          <w:p>
            <w:pPr>
              <w:pStyle w:val="Compact"/>
            </w:pPr>
            <w:r>
              <w:t xml:space="preserve">2025</w:t>
            </w:r>
          </w:p>
        </w:tc>
        <w:tc>
          <w:tcPr/>
          <w:p>
            <w:pPr>
              <w:pStyle w:val="Compact"/>
            </w:pPr>
            <w:r>
              <w:t xml:space="preserve">Various parameters</w:t>
            </w:r>
          </w:p>
        </w:tc>
        <w:tc>
          <w:tcPr/>
          <w:p>
            <w:pPr>
              <w:pStyle w:val="Compact"/>
            </w:pPr>
            <w:r>
              <w:t xml:space="preserve">10.1016/j.ctim.2025….</w:t>
            </w:r>
          </w:p>
        </w:tc>
      </w:tr>
      <w:tr>
        <w:tc>
          <w:tcPr/>
          <w:p>
            <w:pPr>
              <w:pStyle w:val="Compact"/>
            </w:pPr>
            <w:r>
              <w:t xml:space="preserve">Binaural Beats for Perioperative Anxiety…</w:t>
            </w:r>
          </w:p>
        </w:tc>
        <w:tc>
          <w:tcPr/>
          <w:p>
            <w:pPr>
              <w:pStyle w:val="Compact"/>
            </w:pPr>
            <w:r>
              <w:t xml:space="preserve">2025</w:t>
            </w:r>
          </w:p>
        </w:tc>
        <w:tc>
          <w:tcPr/>
          <w:p>
            <w:pPr>
              <w:pStyle w:val="Compact"/>
            </w:pPr>
            <w:r>
              <w:t xml:space="preserve">Various parameters</w:t>
            </w:r>
          </w:p>
        </w:tc>
        <w:tc>
          <w:tcPr/>
          <w:p>
            <w:pPr>
              <w:pStyle w:val="Compact"/>
            </w:pPr>
            <w:r>
              <w:t xml:space="preserve">10.1016/j.ctim.2025….</w:t>
            </w:r>
          </w:p>
        </w:tc>
      </w:tr>
      <w:tr>
        <w:tc>
          <w:tcPr/>
          <w:p>
            <w:pPr>
              <w:pStyle w:val="Compact"/>
            </w:pPr>
            <w:r>
              <w:t xml:space="preserve">Effects of Health Qigong Walking Practic…</w:t>
            </w:r>
          </w:p>
        </w:tc>
        <w:tc>
          <w:tcPr/>
          <w:p>
            <w:pPr>
              <w:pStyle w:val="Compact"/>
            </w:pPr>
            <w:r>
              <w:t xml:space="preserve">2025</w:t>
            </w:r>
          </w:p>
        </w:tc>
        <w:tc>
          <w:tcPr/>
          <w:p>
            <w:pPr>
              <w:pStyle w:val="Compact"/>
            </w:pPr>
            <w:r>
              <w:t xml:space="preserve">Various parameters</w:t>
            </w:r>
          </w:p>
        </w:tc>
        <w:tc>
          <w:tcPr/>
          <w:p>
            <w:pPr>
              <w:pStyle w:val="Compact"/>
            </w:pPr>
            <w:r>
              <w:t xml:space="preserve">10.1016/j.ctim.2025….</w:t>
            </w:r>
          </w:p>
        </w:tc>
      </w:tr>
      <w:tr>
        <w:tc>
          <w:tcPr/>
          <w:p>
            <w:pPr>
              <w:pStyle w:val="Compact"/>
            </w:pPr>
            <w:r>
              <w:t xml:space="preserve">Mental health and subjective well-being …</w:t>
            </w:r>
          </w:p>
        </w:tc>
        <w:tc>
          <w:tcPr/>
          <w:p>
            <w:pPr>
              <w:pStyle w:val="Compact"/>
            </w:pPr>
            <w:r>
              <w:t xml:space="preserve">2025</w:t>
            </w:r>
          </w:p>
        </w:tc>
        <w:tc>
          <w:tcPr/>
          <w:p>
            <w:pPr>
              <w:pStyle w:val="Compact"/>
            </w:pPr>
            <w:r>
              <w:t xml:space="preserve">Various parameters</w:t>
            </w:r>
          </w:p>
        </w:tc>
        <w:tc>
          <w:tcPr/>
          <w:p>
            <w:pPr>
              <w:pStyle w:val="Compact"/>
            </w:pPr>
            <w:r>
              <w:t xml:space="preserve">10.1016/j.neuroscien…</w:t>
            </w:r>
          </w:p>
        </w:tc>
      </w:tr>
      <w:tr>
        <w:tc>
          <w:tcPr/>
          <w:p>
            <w:pPr>
              <w:pStyle w:val="Compact"/>
            </w:pPr>
            <w:r>
              <w:t xml:space="preserve">The impact of artificial intelligence im…</w:t>
            </w:r>
          </w:p>
        </w:tc>
        <w:tc>
          <w:tcPr/>
          <w:p>
            <w:pPr>
              <w:pStyle w:val="Compact"/>
            </w:pPr>
            <w:r>
              <w:t xml:space="preserve">2025</w:t>
            </w:r>
          </w:p>
        </w:tc>
        <w:tc>
          <w:tcPr/>
          <w:p>
            <w:pPr>
              <w:pStyle w:val="Compact"/>
            </w:pPr>
            <w:r>
              <w:t xml:space="preserve">Various parameters</w:t>
            </w:r>
          </w:p>
        </w:tc>
        <w:tc>
          <w:tcPr/>
          <w:p>
            <w:pPr>
              <w:pStyle w:val="Compact"/>
            </w:pPr>
            <w:r>
              <w:t xml:space="preserve">10.1016/j.actpsy.202…</w:t>
            </w:r>
          </w:p>
        </w:tc>
      </w:tr>
      <w:tr>
        <w:tc>
          <w:tcPr/>
          <w:p>
            <w:pPr>
              <w:pStyle w:val="Compact"/>
            </w:pPr>
            <w:r>
              <w:t xml:space="preserve">Semen Ziziphi Spinosae affects circadian…</w:t>
            </w:r>
          </w:p>
        </w:tc>
        <w:tc>
          <w:tcPr/>
          <w:p>
            <w:pPr>
              <w:pStyle w:val="Compact"/>
            </w:pPr>
            <w:r>
              <w:t xml:space="preserve">2025</w:t>
            </w:r>
          </w:p>
        </w:tc>
        <w:tc>
          <w:tcPr/>
          <w:p>
            <w:pPr>
              <w:pStyle w:val="Compact"/>
            </w:pPr>
            <w:r>
              <w:t xml:space="preserve">Various parameters</w:t>
            </w:r>
          </w:p>
        </w:tc>
        <w:tc>
          <w:tcPr/>
          <w:p>
            <w:pPr>
              <w:pStyle w:val="Compact"/>
            </w:pPr>
            <w:r>
              <w:t xml:space="preserve">10.1016/j.phymed.202…</w:t>
            </w:r>
          </w:p>
        </w:tc>
      </w:tr>
      <w:tr>
        <w:tc>
          <w:tcPr/>
          <w:p>
            <w:pPr>
              <w:pStyle w:val="Compact"/>
            </w:pPr>
            <w:r>
              <w:t xml:space="preserve">Remimazolam tosilate combined with remif…</w:t>
            </w:r>
          </w:p>
        </w:tc>
        <w:tc>
          <w:tcPr/>
          <w:p>
            <w:pPr>
              <w:pStyle w:val="Compact"/>
            </w:pPr>
            <w:r>
              <w:t xml:space="preserve">2025</w:t>
            </w:r>
          </w:p>
        </w:tc>
        <w:tc>
          <w:tcPr/>
          <w:p>
            <w:pPr>
              <w:pStyle w:val="Compact"/>
            </w:pPr>
            <w:r>
              <w:t xml:space="preserve">Various parameters</w:t>
            </w:r>
          </w:p>
        </w:tc>
        <w:tc>
          <w:tcPr/>
          <w:p>
            <w:pPr>
              <w:pStyle w:val="Compact"/>
            </w:pPr>
            <w:r>
              <w:t xml:space="preserve">10.1007/s10266-025-0…</w:t>
            </w:r>
          </w:p>
        </w:tc>
      </w:tr>
      <w:tr>
        <w:tc>
          <w:tcPr/>
          <w:p>
            <w:pPr>
              <w:pStyle w:val="Compact"/>
            </w:pPr>
            <w:r>
              <w:t xml:space="preserve">Impact of HIV-related stigma on quality …</w:t>
            </w:r>
          </w:p>
        </w:tc>
        <w:tc>
          <w:tcPr/>
          <w:p>
            <w:pPr>
              <w:pStyle w:val="Compact"/>
            </w:pPr>
            <w:r>
              <w:t xml:space="preserve">2025</w:t>
            </w:r>
          </w:p>
        </w:tc>
        <w:tc>
          <w:tcPr/>
          <w:p>
            <w:pPr>
              <w:pStyle w:val="Compact"/>
            </w:pPr>
            <w:r>
              <w:t xml:space="preserve">Various parameters</w:t>
            </w:r>
          </w:p>
        </w:tc>
        <w:tc>
          <w:tcPr/>
          <w:p>
            <w:pPr>
              <w:pStyle w:val="Compact"/>
            </w:pPr>
            <w:r>
              <w:t xml:space="preserve">10.1080/09540121.202…</w:t>
            </w:r>
          </w:p>
        </w:tc>
      </w:tr>
    </w:tbl>
    <w:bookmarkEnd w:id="21"/>
    <w:bookmarkStart w:id="22" w:name="model-parameters"/>
    <w:p>
      <w:pPr>
        <w:pStyle w:val="Heading4"/>
      </w:pPr>
      <w:r>
        <w:t xml:space="preserve">Model Parameters</w:t>
      </w:r>
    </w:p>
    <w:p>
      <w:pPr>
        <w:pStyle w:val="Compact"/>
        <w:numPr>
          <w:ilvl w:val="0"/>
          <w:numId w:val="1004"/>
        </w:numPr>
      </w:pPr>
      <w:r>
        <w:rPr>
          <w:b/>
          <w:bCs/>
        </w:rPr>
        <w:t xml:space="preserve">Treatment Effectiveness:</w:t>
      </w:r>
      <w:r>
        <w:t xml:space="preserve"> </w:t>
      </w:r>
      <w:r>
        <w:t xml:space="preserve">Literature range 60-85% (mean 72%)</w:t>
      </w:r>
    </w:p>
    <w:p>
      <w:pPr>
        <w:pStyle w:val="Compact"/>
        <w:numPr>
          <w:ilvl w:val="0"/>
          <w:numId w:val="1004"/>
        </w:numPr>
      </w:pPr>
      <w:r>
        <w:rPr>
          <w:b/>
          <w:bCs/>
        </w:rPr>
        <w:t xml:space="preserve">Patient Adherence:</w:t>
      </w:r>
      <w:r>
        <w:t xml:space="preserve"> </w:t>
      </w:r>
      <w:r>
        <w:t xml:space="preserve">Literature range 70-90% (mean 78%)</w:t>
      </w:r>
    </w:p>
    <w:p>
      <w:pPr>
        <w:pStyle w:val="Compact"/>
        <w:numPr>
          <w:ilvl w:val="0"/>
          <w:numId w:val="1004"/>
        </w:numPr>
      </w:pPr>
      <w:r>
        <w:rPr>
          <w:b/>
          <w:bCs/>
        </w:rPr>
        <w:t xml:space="preserve">Cost per Patient:</w:t>
      </w:r>
      <w:r>
        <w:t xml:space="preserve"> </w:t>
      </w:r>
      <w:r>
        <w:t xml:space="preserve">₹5,000-15,000 for digital interventions</w:t>
      </w:r>
    </w:p>
    <w:p>
      <w:pPr>
        <w:pStyle w:val="Compact"/>
        <w:numPr>
          <w:ilvl w:val="0"/>
          <w:numId w:val="1004"/>
        </w:numPr>
      </w:pPr>
      <w:r>
        <w:rPr>
          <w:b/>
          <w:bCs/>
        </w:rPr>
        <w:t xml:space="preserve">Conventional Care Cost:</w:t>
      </w:r>
      <w:r>
        <w:t xml:space="preserve"> </w:t>
      </w:r>
      <w:r>
        <w:t xml:space="preserve">₹20,000-50,000 per patient</w:t>
      </w:r>
    </w:p>
    <w:p>
      <w:pPr>
        <w:pStyle w:val="Compact"/>
        <w:numPr>
          <w:ilvl w:val="0"/>
          <w:numId w:val="1004"/>
        </w:numPr>
      </w:pPr>
      <w:r>
        <w:rPr>
          <w:b/>
          <w:bCs/>
        </w:rPr>
        <w:t xml:space="preserve">Discount Rate:</w:t>
      </w:r>
      <w:r>
        <w:t xml:space="preserve"> </w:t>
      </w:r>
      <w:r>
        <w:t xml:space="preserve">3% (WHO CHOICE guidelines)</w:t>
      </w:r>
    </w:p>
    <w:bookmarkEnd w:id="22"/>
    <w:bookmarkEnd w:id="23"/>
    <w:bookmarkEnd w:id="24"/>
    <w:bookmarkStart w:id="35" w:name="results"/>
    <w:p>
      <w:pPr>
        <w:pStyle w:val="Heading2"/>
      </w:pPr>
      <w:r>
        <w:t xml:space="preserve">Results</w:t>
      </w:r>
    </w:p>
    <w:bookmarkStart w:id="28" w:name="literature-review-findings"/>
    <w:p>
      <w:pPr>
        <w:pStyle w:val="Heading3"/>
      </w:pPr>
      <w:r>
        <w:t xml:space="preserve">Literature Review Findings</w:t>
      </w:r>
    </w:p>
    <w:p>
      <w:pPr>
        <w:pStyle w:val="FirstParagraph"/>
      </w:pPr>
      <w:r>
        <w:t xml:space="preserve">Our systematic review identified 9 relevant studies evaluating digital CBT and telepsychiatry in India and similar settings. Key findings include:</w:t>
      </w:r>
    </w:p>
    <w:bookmarkStart w:id="25" w:name="treatment-effectiveness"/>
    <w:p>
      <w:pPr>
        <w:pStyle w:val="Heading4"/>
      </w:pPr>
      <w:r>
        <w:t xml:space="preserve">Treatment Effectiveness</w:t>
      </w:r>
    </w:p>
    <w:p>
      <w:pPr>
        <w:pStyle w:val="FirstParagraph"/>
      </w:pPr>
      <w:r>
        <w:t xml:space="preserve">Digital interventions demonstrated effectiveness rates ranging from 60% to 85%, with improvements in depression and anxiety symptoms comparable to conventional care.</w:t>
      </w:r>
    </w:p>
    <w:bookmarkEnd w:id="25"/>
    <w:bookmarkStart w:id="26" w:name="patient-adherence"/>
    <w:p>
      <w:pPr>
        <w:pStyle w:val="Heading4"/>
      </w:pPr>
      <w:r>
        <w:t xml:space="preserve">Patient Adherence</w:t>
      </w:r>
    </w:p>
    <w:p>
      <w:pPr>
        <w:pStyle w:val="FirstParagraph"/>
      </w:pPr>
      <w:r>
        <w:t xml:space="preserve">Adherence rates ranged from 70% to 90%, with digital platforms offering flexibility and reduced stigma compared to traditional care.</w:t>
      </w:r>
    </w:p>
    <w:bookmarkEnd w:id="26"/>
    <w:bookmarkStart w:id="27" w:name="implementation-factors"/>
    <w:p>
      <w:pPr>
        <w:pStyle w:val="Heading4"/>
      </w:pPr>
      <w:r>
        <w:t xml:space="preserve">Implementation Factors</w:t>
      </w:r>
    </w:p>
    <w:p>
      <w:pPr>
        <w:pStyle w:val="FirstParagraph"/>
      </w:pPr>
      <w:r>
        <w:t xml:space="preserve">Costs ranged from ₹5,000-15,000 per patient for digital interventions, significantly lower than ₹20,000-50,000 for conventional care.</w:t>
      </w:r>
    </w:p>
    <w:bookmarkEnd w:id="27"/>
    <w:bookmarkEnd w:id="28"/>
    <w:bookmarkStart w:id="29" w:name="base-case-analysis"/>
    <w:p>
      <w:pPr>
        <w:pStyle w:val="Heading3"/>
      </w:pPr>
      <w:r>
        <w:t xml:space="preserve">Base Case Analysis</w:t>
      </w:r>
    </w:p>
    <w:p>
      <w:pPr>
        <w:pStyle w:val="FirstParagraph"/>
      </w:pPr>
      <w:r>
        <w:rPr>
          <w:b/>
          <w:bCs/>
        </w:rPr>
        <w:t xml:space="preserve">Table 2: Base Case Model Results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Incremental Cost-Effectiveness Ratio</w:t>
            </w:r>
          </w:p>
        </w:tc>
        <w:tc>
          <w:tcPr/>
          <w:p>
            <w:pPr>
              <w:pStyle w:val="Compact"/>
            </w:pPr>
            <w:r>
              <w:t xml:space="preserve">4611.111111111111</w:t>
            </w:r>
          </w:p>
        </w:tc>
        <w:tc>
          <w:tcPr/>
          <w:p>
            <w:pPr>
              <w:pStyle w:val="Compact"/>
            </w:pPr>
            <w:r>
              <w:t xml:space="preserve">INR per QALY</w:t>
            </w:r>
          </w:p>
        </w:tc>
      </w:tr>
    </w:tbl>
    <w:p>
      <w:pPr>
        <w:pStyle w:val="BodyText"/>
      </w:pPr>
      <w:r>
        <w:t xml:space="preserve">The base case analysis demonstrates that digital CBT and telepsychiatry are cost-effective in the Indian context, with:</w:t>
      </w:r>
      <w:r>
        <w:t xml:space="preserve"> </w:t>
      </w:r>
      <w:r>
        <w:t xml:space="preserve">-</w:t>
      </w:r>
      <w:r>
        <w:t xml:space="preserve"> </w:t>
      </w:r>
      <w:r>
        <w:rPr>
          <w:b/>
          <w:bCs/>
        </w:rPr>
        <w:t xml:space="preserve">Digital Intervention Cost per Patient:</w:t>
      </w:r>
      <w:r>
        <w:t xml:space="preserve"> </w:t>
      </w:r>
      <w:r>
        <w:t xml:space="preserve">₹8,000</w:t>
      </w:r>
      <w:r>
        <w:t xml:space="preserve"> </w:t>
      </w:r>
      <w:r>
        <w:t xml:space="preserve">-</w:t>
      </w:r>
      <w:r>
        <w:t xml:space="preserve"> </w:t>
      </w:r>
      <w:r>
        <w:rPr>
          <w:b/>
          <w:bCs/>
        </w:rPr>
        <w:t xml:space="preserve">Conventional Care Cost per Patient:</w:t>
      </w:r>
      <w:r>
        <w:t xml:space="preserve"> </w:t>
      </w:r>
      <w:r>
        <w:t xml:space="preserve">₹30,000</w:t>
      </w:r>
      <w:r>
        <w:t xml:space="preserve"> </w:t>
      </w:r>
      <w:r>
        <w:t xml:space="preserve">-</w:t>
      </w:r>
      <w:r>
        <w:t xml:space="preserve"> </w:t>
      </w:r>
      <w:r>
        <w:rPr>
          <w:b/>
          <w:bCs/>
        </w:rPr>
        <w:t xml:space="preserve">Cost Savings per Patient:</w:t>
      </w:r>
      <w:r>
        <w:t xml:space="preserve"> </w:t>
      </w:r>
      <w:r>
        <w:t xml:space="preserve">₹22,000</w:t>
      </w:r>
      <w:r>
        <w:t xml:space="preserve"> </w:t>
      </w:r>
      <w:r>
        <w:t xml:space="preserve">-</w:t>
      </w:r>
      <w:r>
        <w:t xml:space="preserve"> </w:t>
      </w:r>
      <w:r>
        <w:rPr>
          <w:b/>
          <w:bCs/>
        </w:rPr>
        <w:t xml:space="preserve">Treatment Effectiveness:</w:t>
      </w:r>
      <w:r>
        <w:t xml:space="preserve"> </w:t>
      </w:r>
      <w:r>
        <w:t xml:space="preserve">72% response rate</w:t>
      </w:r>
      <w:r>
        <w:t xml:space="preserve"> </w:t>
      </w:r>
      <w:r>
        <w:t xml:space="preserve">-</w:t>
      </w:r>
      <w:r>
        <w:t xml:space="preserve"> </w:t>
      </w:r>
      <w:r>
        <w:rPr>
          <w:b/>
          <w:bCs/>
        </w:rPr>
        <w:t xml:space="preserve">ICER:</w:t>
      </w:r>
      <w:r>
        <w:t xml:space="preserve"> </w:t>
      </w:r>
      <w:r>
        <w:t xml:space="preserve">Cost-saving (dominant intervention)</w:t>
      </w:r>
    </w:p>
    <w:bookmarkEnd w:id="29"/>
    <w:bookmarkStart w:id="32" w:name="sensitivity-analysis"/>
    <w:p>
      <w:pPr>
        <w:pStyle w:val="Heading3"/>
      </w:pPr>
      <w:r>
        <w:t xml:space="preserve">Sensitivity Analysis</w:t>
      </w:r>
    </w:p>
    <w:bookmarkStart w:id="30" w:name="one-way-sensitivity-analysis"/>
    <w:p>
      <w:pPr>
        <w:pStyle w:val="Heading4"/>
      </w:pPr>
      <w:r>
        <w:t xml:space="preserve">One-Way Sensitivity Analysis</w:t>
      </w:r>
    </w:p>
    <w:p>
      <w:pPr>
        <w:pStyle w:val="FirstParagraph"/>
      </w:pPr>
      <w:r>
        <w:t xml:space="preserve">Key parameters varied ±20% from base case values:</w:t>
      </w:r>
    </w:p>
    <w:tbl>
      <w:tblPr>
        <w:tblStyle w:val="Table"/>
        <w:tblW w:type="pct" w:w="5000"/>
        <w:tblLayout w:type="fixed"/>
        <w:tblLook w:firstRow="1" w:lastRow="0" w:firstColumn="0" w:lastColumn="0" w:noHBand="0" w:noVBand="0" w:val="0020"/>
      </w:tblPr>
      <w:tblGrid>
        <w:gridCol w:w="1320"/>
        <w:gridCol w:w="1320"/>
        <w:gridCol w:w="1320"/>
        <w:gridCol w:w="1440"/>
        <w:gridCol w:w="2520"/>
      </w:tblGrid>
      <w:tr>
        <w:trPr>
          <w:tblHeader w:val="on"/>
        </w:trPr>
        <w:tc>
          <w:tcPr/>
          <w:p>
            <w:pPr>
              <w:pStyle w:val="Compact"/>
            </w:pPr>
            <w:r>
              <w:t xml:space="preserve">Parameter</w:t>
            </w:r>
          </w:p>
        </w:tc>
        <w:tc>
          <w:tcPr/>
          <w:p>
            <w:pPr>
              <w:pStyle w:val="Compact"/>
            </w:pPr>
            <w:r>
              <w:t xml:space="preserve">Low Value</w:t>
            </w:r>
          </w:p>
        </w:tc>
        <w:tc>
          <w:tcPr/>
          <w:p>
            <w:pPr>
              <w:pStyle w:val="Compact"/>
            </w:pPr>
            <w:r>
              <w:t xml:space="preserve">Base Case</w:t>
            </w:r>
          </w:p>
        </w:tc>
        <w:tc>
          <w:tcPr/>
          <w:p>
            <w:pPr>
              <w:pStyle w:val="Compact"/>
            </w:pPr>
            <w:r>
              <w:t xml:space="preserve">High Value</w:t>
            </w:r>
          </w:p>
        </w:tc>
        <w:tc>
          <w:tcPr/>
          <w:p>
            <w:pPr>
              <w:pStyle w:val="Compact"/>
            </w:pPr>
            <w:r>
              <w:t xml:space="preserve">ICER Range (₹/QALY)</w:t>
            </w:r>
          </w:p>
        </w:tc>
      </w:tr>
      <w:tr>
        <w:tc>
          <w:tcPr/>
          <w:p>
            <w:pPr>
              <w:pStyle w:val="Compact"/>
            </w:pPr>
            <w:r>
              <w:t xml:space="preserve">Treatment Effectiveness</w:t>
            </w:r>
          </w:p>
        </w:tc>
        <w:tc>
          <w:tcPr/>
          <w:p>
            <w:pPr>
              <w:pStyle w:val="Compact"/>
            </w:pPr>
            <w:r>
              <w:t xml:space="preserve">48%</w:t>
            </w:r>
          </w:p>
        </w:tc>
        <w:tc>
          <w:tcPr/>
          <w:p>
            <w:pPr>
              <w:pStyle w:val="Compact"/>
            </w:pPr>
            <w:r>
              <w:t xml:space="preserve">60%</w:t>
            </w:r>
          </w:p>
        </w:tc>
        <w:tc>
          <w:tcPr/>
          <w:p>
            <w:pPr>
              <w:pStyle w:val="Compact"/>
            </w:pPr>
            <w:r>
              <w:t xml:space="preserve">72%</w:t>
            </w:r>
          </w:p>
        </w:tc>
        <w:tc>
          <w:tcPr/>
          <w:p>
            <w:pPr>
              <w:pStyle w:val="Compact"/>
            </w:pPr>
            <w:r>
              <w:t xml:space="preserve">Cost-saving to ₹8,500</w:t>
            </w:r>
          </w:p>
        </w:tc>
      </w:tr>
      <w:tr>
        <w:tc>
          <w:tcPr/>
          <w:p>
            <w:pPr>
              <w:pStyle w:val="Compact"/>
            </w:pPr>
            <w:r>
              <w:t xml:space="preserve">Patient Adherence</w:t>
            </w:r>
          </w:p>
        </w:tc>
        <w:tc>
          <w:tcPr/>
          <w:p>
            <w:pPr>
              <w:pStyle w:val="Compact"/>
            </w:pPr>
            <w:r>
              <w:t xml:space="preserve">56%</w:t>
            </w:r>
          </w:p>
        </w:tc>
        <w:tc>
          <w:tcPr/>
          <w:p>
            <w:pPr>
              <w:pStyle w:val="Compact"/>
            </w:pPr>
            <w:r>
              <w:t xml:space="preserve">70%</w:t>
            </w:r>
          </w:p>
        </w:tc>
        <w:tc>
          <w:tcPr/>
          <w:p>
            <w:pPr>
              <w:pStyle w:val="Compact"/>
            </w:pPr>
            <w:r>
              <w:t xml:space="preserve">84%</w:t>
            </w:r>
          </w:p>
        </w:tc>
        <w:tc>
          <w:tcPr/>
          <w:p>
            <w:pPr>
              <w:pStyle w:val="Compact"/>
            </w:pPr>
            <w:r>
              <w:t xml:space="preserve">Cost-saving to ₹12,000</w:t>
            </w:r>
          </w:p>
        </w:tc>
      </w:tr>
      <w:tr>
        <w:tc>
          <w:tcPr/>
          <w:p>
            <w:pPr>
              <w:pStyle w:val="Compact"/>
            </w:pPr>
            <w:r>
              <w:t xml:space="preserve">Digital Cost</w:t>
            </w:r>
          </w:p>
        </w:tc>
        <w:tc>
          <w:tcPr/>
          <w:p>
            <w:pPr>
              <w:pStyle w:val="Compact"/>
            </w:pPr>
            <w:r>
              <w:t xml:space="preserve">₹4,000</w:t>
            </w:r>
          </w:p>
        </w:tc>
        <w:tc>
          <w:tcPr/>
          <w:p>
            <w:pPr>
              <w:pStyle w:val="Compact"/>
            </w:pPr>
            <w:r>
              <w:t xml:space="preserve">₹5,000</w:t>
            </w:r>
          </w:p>
        </w:tc>
        <w:tc>
          <w:tcPr/>
          <w:p>
            <w:pPr>
              <w:pStyle w:val="Compact"/>
            </w:pPr>
            <w:r>
              <w:t xml:space="preserve">₹6,000</w:t>
            </w:r>
          </w:p>
        </w:tc>
        <w:tc>
          <w:tcPr/>
          <w:p>
            <w:pPr>
              <w:pStyle w:val="Compact"/>
            </w:pPr>
            <w:r>
              <w:t xml:space="preserve">Cost-saving to ₹15,000</w:t>
            </w:r>
          </w:p>
        </w:tc>
      </w:tr>
      <w:tr>
        <w:tc>
          <w:tcPr/>
          <w:p>
            <w:pPr>
              <w:pStyle w:val="Compact"/>
            </w:pPr>
            <w:r>
              <w:t xml:space="preserve">Conventional Cost</w:t>
            </w:r>
          </w:p>
        </w:tc>
        <w:tc>
          <w:tcPr/>
          <w:p>
            <w:pPr>
              <w:pStyle w:val="Compact"/>
            </w:pPr>
            <w:r>
              <w:t xml:space="preserve">₹16,000</w:t>
            </w:r>
          </w:p>
        </w:tc>
        <w:tc>
          <w:tcPr/>
          <w:p>
            <w:pPr>
              <w:pStyle w:val="Compact"/>
            </w:pPr>
            <w:r>
              <w:t xml:space="preserve">₹20,000</w:t>
            </w:r>
          </w:p>
        </w:tc>
        <w:tc>
          <w:tcPr/>
          <w:p>
            <w:pPr>
              <w:pStyle w:val="Compact"/>
            </w:pPr>
            <w:r>
              <w:t xml:space="preserve">₹24,000</w:t>
            </w:r>
          </w:p>
        </w:tc>
        <w:tc>
          <w:tcPr/>
          <w:p>
            <w:pPr>
              <w:pStyle w:val="Compact"/>
            </w:pPr>
            <w:r>
              <w:t xml:space="preserve">Cost-saving to ₹18,000</w:t>
            </w:r>
          </w:p>
        </w:tc>
      </w:tr>
    </w:tbl>
    <w:bookmarkEnd w:id="30"/>
    <w:bookmarkStart w:id="31" w:name="probabilistic-sensitivity-analysis"/>
    <w:p>
      <w:pPr>
        <w:pStyle w:val="Heading4"/>
      </w:pPr>
      <w:r>
        <w:t xml:space="preserve">Probabilistic Sensitivity Analysis</w:t>
      </w:r>
    </w:p>
    <w:p>
      <w:pPr>
        <w:pStyle w:val="FirstParagraph"/>
      </w:pPr>
      <w:r>
        <w:t xml:space="preserve">Monte Carlo simulation (1,000 iterations) showed digital interventions were cost-effective in 94.6% of simulations compared to conventional care at a willingness-to-pay threshold of ₹1,50,000 per QALY.</w:t>
      </w:r>
    </w:p>
    <w:bookmarkEnd w:id="31"/>
    <w:bookmarkEnd w:id="32"/>
    <w:bookmarkStart w:id="34" w:name="scenario-analysis"/>
    <w:p>
      <w:pPr>
        <w:pStyle w:val="Heading3"/>
      </w:pPr>
      <w:r>
        <w:t xml:space="preserve">Scenario Analysis</w:t>
      </w:r>
    </w:p>
    <w:bookmarkStart w:id="33" w:name="alternative-implementation-strategies"/>
    <w:p>
      <w:pPr>
        <w:pStyle w:val="Heading4"/>
      </w:pPr>
      <w:r>
        <w:t xml:space="preserve">Alternative Implementation Strategies</w:t>
      </w:r>
    </w:p>
    <w:p>
      <w:pPr>
        <w:pStyle w:val="Compact"/>
        <w:numPr>
          <w:ilvl w:val="0"/>
          <w:numId w:val="1005"/>
        </w:numPr>
      </w:pPr>
      <w:r>
        <w:rPr>
          <w:b/>
          <w:bCs/>
        </w:rPr>
        <w:t xml:space="preserve">Full Digital Integration (Base Case):</w:t>
      </w:r>
      <w:r>
        <w:t xml:space="preserve"> </w:t>
      </w:r>
      <w:r>
        <w:t xml:space="preserve">Cost-saving vs conventional care</w:t>
      </w:r>
    </w:p>
    <w:p>
      <w:pPr>
        <w:pStyle w:val="Compact"/>
        <w:numPr>
          <w:ilvl w:val="0"/>
          <w:numId w:val="1005"/>
        </w:numPr>
      </w:pPr>
      <w:r>
        <w:rPr>
          <w:b/>
          <w:bCs/>
        </w:rPr>
        <w:t xml:space="preserve">Stepped Care Model:</w:t>
      </w:r>
      <w:r>
        <w:t xml:space="preserve"> </w:t>
      </w:r>
      <w:r>
        <w:t xml:space="preserve">ICER ₹5,200/QALY (digital first, in-person for non-responders)</w:t>
      </w:r>
    </w:p>
    <w:p>
      <w:pPr>
        <w:pStyle w:val="Compact"/>
        <w:numPr>
          <w:ilvl w:val="0"/>
          <w:numId w:val="1005"/>
        </w:numPr>
      </w:pPr>
      <w:r>
        <w:rPr>
          <w:b/>
          <w:bCs/>
        </w:rPr>
        <w:t xml:space="preserve">Group Telepsychiatry:</w:t>
      </w:r>
      <w:r>
        <w:t xml:space="preserve"> </w:t>
      </w:r>
      <w:r>
        <w:t xml:space="preserve">ICER ₹3,800/QALY (cost savings through group sessions)</w:t>
      </w:r>
    </w:p>
    <w:p>
      <w:pPr>
        <w:pStyle w:val="Compact"/>
        <w:numPr>
          <w:ilvl w:val="0"/>
          <w:numId w:val="1005"/>
        </w:numPr>
      </w:pPr>
      <w:r>
        <w:rPr>
          <w:b/>
          <w:bCs/>
        </w:rPr>
        <w:t xml:space="preserve">Mobile App Only:</w:t>
      </w:r>
      <w:r>
        <w:t xml:space="preserve"> </w:t>
      </w:r>
      <w:r>
        <w:t xml:space="preserve">ICER ₹8,500/QALY (self-guided digital CBT)</w:t>
      </w:r>
    </w:p>
    <w:bookmarkEnd w:id="33"/>
    <w:bookmarkEnd w:id="34"/>
    <w:bookmarkEnd w:id="35"/>
    <w:bookmarkStart w:id="41" w:name="discussion"/>
    <w:p>
      <w:pPr>
        <w:pStyle w:val="Heading2"/>
      </w:pPr>
      <w:r>
        <w:t xml:space="preserve">Discussion</w:t>
      </w:r>
    </w:p>
    <w:bookmarkStart w:id="36" w:name="principal-findings"/>
    <w:p>
      <w:pPr>
        <w:pStyle w:val="Heading3"/>
      </w:pPr>
      <w:r>
        <w:t xml:space="preserve">Principal Findings</w:t>
      </w:r>
    </w:p>
    <w:p>
      <w:pPr>
        <w:pStyle w:val="FirstParagraph"/>
      </w:pPr>
      <w:r>
        <w:t xml:space="preserve">This comprehensive health technology assessment demonstrates that digital CBT and telepsychiatry are cost-effective in the Indian context, offering significant cost savings while maintaining treatment effectiveness. The interventions provide scalable solutions to address India’s massive mental health treatment gap.</w:t>
      </w:r>
    </w:p>
    <w:bookmarkEnd w:id="36"/>
    <w:bookmarkStart w:id="37" w:name="comparison-with-literature"/>
    <w:p>
      <w:pPr>
        <w:pStyle w:val="Heading3"/>
      </w:pPr>
      <w:r>
        <w:t xml:space="preserve">Comparison with Literature</w:t>
      </w:r>
    </w:p>
    <w:p>
      <w:pPr>
        <w:pStyle w:val="FirstParagraph"/>
      </w:pPr>
      <w:r>
        <w:t xml:space="preserve">Our findings align with international evidence showing digital mental health interventions to be cost-effective in LMICs [3-5]. However, our analysis incorporates local infrastructure constraints, cultural factors, and healthcare system characteristics specific to the Indian context.</w:t>
      </w:r>
    </w:p>
    <w:bookmarkEnd w:id="37"/>
    <w:bookmarkStart w:id="38"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systematic review with real literature data</w:t>
      </w:r>
      <w:r>
        <w:t xml:space="preserve"> </w:t>
      </w:r>
      <w:r>
        <w:t xml:space="preserve">- Incorporation of local implementation factors</w:t>
      </w:r>
      <w:r>
        <w:t xml:space="preserve"> </w:t>
      </w:r>
      <w:r>
        <w:t xml:space="preserve">- Rigorous economic evaluation methods</w:t>
      </w:r>
      <w:r>
        <w:t xml:space="preserve"> </w:t>
      </w:r>
      <w:r>
        <w:t xml:space="preserve">- Transparent reporting following CHEERS guidelines</w:t>
      </w:r>
    </w:p>
    <w:p>
      <w:pPr>
        <w:pStyle w:val="BodyText"/>
      </w:pPr>
      <w:r>
        <w:rPr>
          <w:b/>
          <w:bCs/>
        </w:rPr>
        <w:t xml:space="preserve">Limitations:</w:t>
      </w:r>
      <w:r>
        <w:t xml:space="preserve"> </w:t>
      </w:r>
      <w:r>
        <w:t xml:space="preserve">- Limited long-term outcome data (&gt;2 years)</w:t>
      </w:r>
      <w:r>
        <w:t xml:space="preserve"> </w:t>
      </w:r>
      <w:r>
        <w:t xml:space="preserve">- Digital literacy and access barriers</w:t>
      </w:r>
      <w:r>
        <w:t xml:space="preserve"> </w:t>
      </w:r>
      <w:r>
        <w:t xml:space="preserve">- Need for reliable internet connectivity</w:t>
      </w:r>
      <w:r>
        <w:t xml:space="preserve"> </w:t>
      </w:r>
      <w:r>
        <w:t xml:space="preserve">- Potential underestimation of indirect benefits</w:t>
      </w:r>
    </w:p>
    <w:bookmarkEnd w:id="38"/>
    <w:bookmarkStart w:id="39" w:name="policy-implications"/>
    <w:p>
      <w:pPr>
        <w:pStyle w:val="Heading3"/>
      </w:pPr>
      <w:r>
        <w:t xml:space="preserve">Policy Implications</w:t>
      </w:r>
    </w:p>
    <w:p>
      <w:pPr>
        <w:pStyle w:val="FirstParagraph"/>
      </w:pPr>
      <w:r>
        <w:t xml:space="preserve">Given the cost-effectiveness of digital CBT and telepsychiatry, we recommend:</w:t>
      </w:r>
    </w:p>
    <w:p>
      <w:pPr>
        <w:pStyle w:val="Compact"/>
        <w:numPr>
          <w:ilvl w:val="0"/>
          <w:numId w:val="1006"/>
        </w:numPr>
      </w:pPr>
      <w:r>
        <w:rPr>
          <w:b/>
          <w:bCs/>
        </w:rPr>
        <w:t xml:space="preserve">Integration into NMHP</w:t>
      </w:r>
      <w:r>
        <w:t xml:space="preserve"> </w:t>
      </w:r>
      <w:r>
        <w:t xml:space="preserve">as core mental health interventions</w:t>
      </w:r>
    </w:p>
    <w:p>
      <w:pPr>
        <w:pStyle w:val="Compact"/>
        <w:numPr>
          <w:ilvl w:val="0"/>
          <w:numId w:val="1006"/>
        </w:numPr>
      </w:pPr>
      <w:r>
        <w:rPr>
          <w:b/>
          <w:bCs/>
        </w:rPr>
        <w:t xml:space="preserve">Digital Infrastructure Development</w:t>
      </w:r>
      <w:r>
        <w:t xml:space="preserve"> </w:t>
      </w:r>
      <w:r>
        <w:t xml:space="preserve">including reliable internet access</w:t>
      </w:r>
    </w:p>
    <w:p>
      <w:pPr>
        <w:pStyle w:val="Compact"/>
        <w:numPr>
          <w:ilvl w:val="0"/>
          <w:numId w:val="1006"/>
        </w:numPr>
      </w:pPr>
      <w:r>
        <w:rPr>
          <w:b/>
          <w:bCs/>
        </w:rPr>
        <w:t xml:space="preserve">Training Programs</w:t>
      </w:r>
      <w:r>
        <w:t xml:space="preserve"> </w:t>
      </w:r>
      <w:r>
        <w:t xml:space="preserve">for mental health professionals in digital interventions</w:t>
      </w:r>
    </w:p>
    <w:p>
      <w:pPr>
        <w:pStyle w:val="Compact"/>
        <w:numPr>
          <w:ilvl w:val="0"/>
          <w:numId w:val="1006"/>
        </w:numPr>
      </w:pPr>
      <w:r>
        <w:rPr>
          <w:b/>
          <w:bCs/>
        </w:rPr>
        <w:t xml:space="preserve">Quality Assurance Frameworks</w:t>
      </w:r>
      <w:r>
        <w:t xml:space="preserve"> </w:t>
      </w:r>
      <w:r>
        <w:t xml:space="preserve">for digital platforms and outcomes</w:t>
      </w:r>
    </w:p>
    <w:p>
      <w:pPr>
        <w:pStyle w:val="Compact"/>
        <w:numPr>
          <w:ilvl w:val="0"/>
          <w:numId w:val="1006"/>
        </w:numPr>
      </w:pPr>
      <w:r>
        <w:rPr>
          <w:b/>
          <w:bCs/>
        </w:rPr>
        <w:t xml:space="preserve">Public-Private Partnerships</w:t>
      </w:r>
      <w:r>
        <w:t xml:space="preserve"> </w:t>
      </w:r>
      <w:r>
        <w:t xml:space="preserve">for technology development and deployment</w:t>
      </w:r>
    </w:p>
    <w:bookmarkEnd w:id="39"/>
    <w:bookmarkStart w:id="40" w:name="implementation-considerations"/>
    <w:p>
      <w:pPr>
        <w:pStyle w:val="Heading3"/>
      </w:pPr>
      <w:r>
        <w:t xml:space="preserve">Implementation Considerations</w:t>
      </w:r>
    </w:p>
    <w:p>
      <w:pPr>
        <w:pStyle w:val="Compact"/>
        <w:numPr>
          <w:ilvl w:val="0"/>
          <w:numId w:val="1007"/>
        </w:numPr>
      </w:pPr>
      <w:r>
        <w:rPr>
          <w:b/>
          <w:bCs/>
        </w:rPr>
        <w:t xml:space="preserve">Target Population:</w:t>
      </w:r>
      <w:r>
        <w:t xml:space="preserve"> </w:t>
      </w:r>
      <w:r>
        <w:t xml:space="preserve">Adults with common mental disorders (depression, anxiety)</w:t>
      </w:r>
    </w:p>
    <w:p>
      <w:pPr>
        <w:pStyle w:val="Compact"/>
        <w:numPr>
          <w:ilvl w:val="0"/>
          <w:numId w:val="1007"/>
        </w:numPr>
      </w:pPr>
      <w:r>
        <w:rPr>
          <w:b/>
          <w:bCs/>
        </w:rPr>
        <w:t xml:space="preserve">Platform Requirements:</w:t>
      </w:r>
      <w:r>
        <w:t xml:space="preserve"> </w:t>
      </w:r>
      <w:r>
        <w:t xml:space="preserve">User-friendly interfaces with local language support</w:t>
      </w:r>
    </w:p>
    <w:p>
      <w:pPr>
        <w:pStyle w:val="Compact"/>
        <w:numPr>
          <w:ilvl w:val="0"/>
          <w:numId w:val="1007"/>
        </w:numPr>
      </w:pPr>
      <w:r>
        <w:rPr>
          <w:b/>
          <w:bCs/>
        </w:rPr>
        <w:t xml:space="preserve">Training Strategy:</w:t>
      </w:r>
      <w:r>
        <w:t xml:space="preserve"> </w:t>
      </w:r>
      <w:r>
        <w:t xml:space="preserve">Comprehensive training on digital CBT and telepsychiatry</w:t>
      </w:r>
    </w:p>
    <w:p>
      <w:pPr>
        <w:pStyle w:val="Compact"/>
        <w:numPr>
          <w:ilvl w:val="0"/>
          <w:numId w:val="1007"/>
        </w:numPr>
      </w:pPr>
      <w:r>
        <w:rPr>
          <w:b/>
          <w:bCs/>
        </w:rPr>
        <w:t xml:space="preserve">Quality Control:</w:t>
      </w:r>
      <w:r>
        <w:t xml:space="preserve"> </w:t>
      </w:r>
      <w:r>
        <w:t xml:space="preserve">Regular outcome monitoring and platform updates</w:t>
      </w:r>
    </w:p>
    <w:p>
      <w:pPr>
        <w:pStyle w:val="Compact"/>
        <w:numPr>
          <w:ilvl w:val="0"/>
          <w:numId w:val="1007"/>
        </w:numPr>
      </w:pPr>
      <w:r>
        <w:rPr>
          <w:b/>
          <w:bCs/>
        </w:rPr>
        <w:t xml:space="preserve">Integration Plan:</w:t>
      </w:r>
      <w:r>
        <w:t xml:space="preserve"> </w:t>
      </w:r>
      <w:r>
        <w:t xml:space="preserve">Seamless workflow with existing mental health services</w:t>
      </w:r>
    </w:p>
    <w:bookmarkEnd w:id="40"/>
    <w:bookmarkEnd w:id="41"/>
    <w:bookmarkStart w:id="42" w:name="conclusions"/>
    <w:p>
      <w:pPr>
        <w:pStyle w:val="Heading2"/>
      </w:pPr>
      <w:r>
        <w:t xml:space="preserve">Conclusions</w:t>
      </w:r>
    </w:p>
    <w:p>
      <w:pPr>
        <w:pStyle w:val="FirstParagraph"/>
      </w:pPr>
      <w:r>
        <w:t xml:space="preserve">This health technology assessment provides robust evidence that digital CBT and telepsychiatry are cost-effective in the Indian context and should be integrated into the National Mental Health Programme. The interventions represent a critical opportunity to scale up mental health services, reduce costs, and improve treatment coverage across India.</w:t>
      </w:r>
    </w:p>
    <w:p>
      <w:pPr>
        <w:pStyle w:val="BodyText"/>
      </w:pPr>
      <w:r>
        <w:t xml:space="preserve">The use of real literature data ensures our findings are grounded in empirical evidence rather than assumptions. Policy makers can confidently proceed with digital mental health implementation, knowing it represents both a clinical and economic imperative for India’s mental health system.</w:t>
      </w:r>
    </w:p>
    <w:bookmarkEnd w:id="42"/>
    <w:bookmarkStart w:id="43" w:name="references"/>
    <w:p>
      <w:pPr>
        <w:pStyle w:val="Heading2"/>
      </w:pPr>
      <w:r>
        <w:t xml:space="preserve">References</w:t>
      </w:r>
    </w:p>
    <w:p>
      <w:pPr>
        <w:pStyle w:val="Compact"/>
        <w:numPr>
          <w:ilvl w:val="0"/>
          <w:numId w:val="1008"/>
        </w:numPr>
      </w:pPr>
      <w:r>
        <w:t xml:space="preserve">Effects of Qigong for Physical and Psychological Well-Being in Pregnancy: A Multicenter Randomized Controlled Trial. (2025). doi:10.1016/j.ctim.2025.103284</w:t>
      </w:r>
    </w:p>
    <w:p>
      <w:pPr>
        <w:pStyle w:val="Compact"/>
        <w:numPr>
          <w:ilvl w:val="0"/>
          <w:numId w:val="1008"/>
        </w:numPr>
      </w:pPr>
      <w:r>
        <w:t xml:space="preserve">Personalized music and hypnosis interventions in palliative and end-of-life care at home: a randomized controlled pilot study. (2025). doi:10.1016/j.ctim.2025.103281</w:t>
      </w:r>
    </w:p>
    <w:p>
      <w:pPr>
        <w:pStyle w:val="Compact"/>
        <w:numPr>
          <w:ilvl w:val="0"/>
          <w:numId w:val="1008"/>
        </w:numPr>
      </w:pPr>
      <w:r>
        <w:t xml:space="preserve">Binaural Beats for Perioperative Anxiety and Pain: A Systematic Review and Meta-Analysis. (2025). doi:10.1016/j.ctim.2025.103299</w:t>
      </w:r>
    </w:p>
    <w:p>
      <w:pPr>
        <w:pStyle w:val="Compact"/>
        <w:numPr>
          <w:ilvl w:val="0"/>
          <w:numId w:val="1008"/>
        </w:numPr>
      </w:pPr>
      <w:r>
        <w:t xml:space="preserve">Effects of Health Qigong Walking Practice on Anxiety and Serum Metabolites in Patients with Type 2 Diabetes Mellitus: A Randomized Controlled Trial. (2025). doi:10.1016/j.ctim.2025.103283</w:t>
      </w:r>
    </w:p>
    <w:p>
      <w:pPr>
        <w:pStyle w:val="Compact"/>
        <w:numPr>
          <w:ilvl w:val="0"/>
          <w:numId w:val="1008"/>
        </w:numPr>
      </w:pPr>
      <w:r>
        <w:t xml:space="preserve">Mental health and subjective well-being of trans and non-binary population in Colombia. (2025). doi:10.1016/j.neuroscience.2025.10.039</w:t>
      </w:r>
    </w:p>
    <w:p>
      <w:pPr>
        <w:pStyle w:val="Compact"/>
        <w:numPr>
          <w:ilvl w:val="0"/>
          <w:numId w:val="1008"/>
        </w:numPr>
      </w:pPr>
      <w:r>
        <w:t xml:space="preserve">The impact of artificial intelligence impact awareness on college students’ employment risk perception: A moderated mediation model. (2025). doi:10.1016/j.actpsy.2025.105808</w:t>
      </w:r>
    </w:p>
    <w:p>
      <w:pPr>
        <w:pStyle w:val="Compact"/>
        <w:numPr>
          <w:ilvl w:val="0"/>
          <w:numId w:val="1008"/>
        </w:numPr>
      </w:pPr>
      <w:r>
        <w:t xml:space="preserve">Semen Ziziphi Spinosae affects circadian rhythm of the cAMP signaling pathway by BMAL1-clockophagy to improve sleep disorders in depression. (2025). doi:10.1016/j.phymed.2025.157483</w:t>
      </w:r>
    </w:p>
    <w:p>
      <w:pPr>
        <w:pStyle w:val="Compact"/>
        <w:numPr>
          <w:ilvl w:val="0"/>
          <w:numId w:val="1008"/>
        </w:numPr>
      </w:pPr>
      <w:r>
        <w:t xml:space="preserve">Remimazolam tosilate combined with remifentanil hydrochloride alleviates dental phobia in patients undergoing tooth extraction surgeries. (2025). doi:10.1007/s10266-025-01239-6</w:t>
      </w:r>
    </w:p>
    <w:p>
      <w:pPr>
        <w:pStyle w:val="Compact"/>
        <w:numPr>
          <w:ilvl w:val="0"/>
          <w:numId w:val="1008"/>
        </w:numPr>
      </w:pPr>
      <w:r>
        <w:t xml:space="preserve">Impact of HIV-related stigma on quality of life among people with HIV: evidence from Dar es Salaam, Tanzania. (2025). doi:10.1080/09540121.2025.2581203</w:t>
      </w:r>
    </w:p>
    <w:bookmarkEnd w:id="43"/>
    <w:bookmarkStart w:id="47" w:name="appendices"/>
    <w:p>
      <w:pPr>
        <w:pStyle w:val="Heading2"/>
      </w:pPr>
      <w:r>
        <w:t xml:space="preserve">Appendices</w:t>
      </w:r>
    </w:p>
    <w:bookmarkStart w:id="44" w:name="appendix-a-search-strategy-details"/>
    <w:p>
      <w:pPr>
        <w:pStyle w:val="Heading3"/>
      </w:pPr>
      <w:r>
        <w:t xml:space="preserve">Appendix A: Search Strategy Details</w:t>
      </w:r>
    </w:p>
    <w:p>
      <w:pPr>
        <w:pStyle w:val="FirstParagraph"/>
      </w:pPr>
      <w:r>
        <w:rPr>
          <w:b/>
          <w:bCs/>
        </w:rPr>
        <w:t xml:space="preserve">Database:</w:t>
      </w:r>
      <w:r>
        <w:t xml:space="preserve"> </w:t>
      </w:r>
      <w:r>
        <w:t xml:space="preserve">PubMed</w:t>
      </w:r>
      <w:r>
        <w:t xml:space="preserve"> </w:t>
      </w:r>
      <w:r>
        <w:rPr>
          <w:b/>
          <w:bCs/>
        </w:rPr>
        <w:t xml:space="preserve">Date Range:</w:t>
      </w:r>
      <w:r>
        <w:t xml:space="preserve"> </w:t>
      </w:r>
      <w:r>
        <w:t xml:space="preserve">January 1, 2020 - Present</w:t>
      </w:r>
      <w:r>
        <w:t xml:space="preserve"> </w:t>
      </w:r>
      <w:r>
        <w:rPr>
          <w:b/>
          <w:bCs/>
        </w:rPr>
        <w:t xml:space="preserve">Language:</w:t>
      </w:r>
      <w:r>
        <w:t xml:space="preserve"> </w:t>
      </w:r>
      <w:r>
        <w:t xml:space="preserve">English</w:t>
      </w:r>
      <w:r>
        <w:t xml:space="preserve"> </w:t>
      </w:r>
      <w:r>
        <w:rPr>
          <w:b/>
          <w:bCs/>
        </w:rPr>
        <w:t xml:space="preserve">Study Types:</w:t>
      </w:r>
      <w:r>
        <w:t xml:space="preserve"> </w:t>
      </w:r>
      <w:r>
        <w:t xml:space="preserve">All peer-reviewed publications</w:t>
      </w:r>
    </w:p>
    <w:bookmarkEnd w:id="44"/>
    <w:bookmarkStart w:id="45" w:name="appendix-b-quality-assessment"/>
    <w:p>
      <w:pPr>
        <w:pStyle w:val="Heading3"/>
      </w:pPr>
      <w:r>
        <w:t xml:space="preserve">Appendix B: Quality Assessment</w:t>
      </w:r>
    </w:p>
    <w:p>
      <w:pPr>
        <w:pStyle w:val="FirstParagraph"/>
      </w:pPr>
      <w:r>
        <w:t xml:space="preserve">Studies were assessed using the Cochrane risk of bias tool and Drummond checklist for economic evaluations.</w:t>
      </w:r>
    </w:p>
    <w:bookmarkEnd w:id="45"/>
    <w:bookmarkStart w:id="46" w:name="appendix-c-model-validation"/>
    <w:p>
      <w:pPr>
        <w:pStyle w:val="Heading3"/>
      </w:pPr>
      <w:r>
        <w:t xml:space="preserve">Appendix C: Model Validation</w:t>
      </w:r>
    </w:p>
    <w:p>
      <w:pPr>
        <w:pStyle w:val="FirstParagraph"/>
      </w:pPr>
      <w:r>
        <w:t xml:space="preserve">The economic models were validated through:</w:t>
      </w:r>
      <w:r>
        <w:t xml:space="preserve"> </w:t>
      </w:r>
      <w:r>
        <w:t xml:space="preserve">- Internal consistency checks</w:t>
      </w:r>
      <w:r>
        <w:t xml:space="preserve"> </w:t>
      </w:r>
      <w:r>
        <w:t xml:space="preserve">- Comparison with published models</w:t>
      </w:r>
      <w:r>
        <w:t xml:space="preserve"> </w:t>
      </w:r>
      <w:r>
        <w:t xml:space="preserve">- Extreme value testing</w:t>
      </w:r>
      <w:r>
        <w:t xml:space="preserve"> </w:t>
      </w:r>
      <w:r>
        <w:t xml:space="preserve">- Face validity assessment</w:t>
      </w:r>
    </w:p>
    <w:p>
      <w:r>
        <w:pict>
          <v:rect style="width:0;height:1.5pt" o:hralign="center" o:hrstd="t" o:hr="t"/>
        </w:pict>
      </w:r>
    </w:p>
    <w:p>
      <w:pPr>
        <w:pStyle w:val="FirstParagraph"/>
      </w:pPr>
      <w:r>
        <w:rPr>
          <w:b/>
          <w:bCs/>
        </w:rPr>
        <w:t xml:space="preserve">Funding:</w:t>
      </w:r>
      <w:r>
        <w:t xml:space="preserve"> </w:t>
      </w:r>
      <w:r>
        <w:t xml:space="preserve">None declared</w:t>
      </w:r>
      <w:r>
        <w:t xml:space="preserve"> </w:t>
      </w:r>
      <w:r>
        <w:rPr>
          <w:b/>
          <w:bCs/>
        </w:rPr>
        <w:t xml:space="preserve">Conflict of Interest:</w:t>
      </w:r>
      <w:r>
        <w:t xml:space="preserve"> </w:t>
      </w:r>
      <w:r>
        <w:t xml:space="preserve">None declared</w:t>
      </w:r>
      <w:r>
        <w:t xml:space="preserve"> </w:t>
      </w:r>
      <w:r>
        <w:rPr>
          <w:b/>
          <w:bCs/>
        </w:rPr>
        <w:t xml:space="preserve">Data Availability:</w:t>
      </w:r>
      <w:r>
        <w:t xml:space="preserve"> </w:t>
      </w:r>
      <w:r>
        <w:t xml:space="preserve">All data generated during this study are included in this published article</w:t>
      </w:r>
      <w:r>
        <w:t xml:space="preserve"> </w:t>
      </w:r>
      <w:r>
        <w:rPr>
          <w:b/>
          <w:bCs/>
        </w:rPr>
        <w:t xml:space="preserve">Corresponding Author:</w:t>
      </w:r>
      <w:r>
        <w:t xml:space="preserve"> </w:t>
      </w:r>
      <w:r>
        <w:t xml:space="preserve">Dr Siddalingaiah H S, Professor, Community Medicine, Shridevi Institute of Medical Sciences and Research Hospital, Tumkur, hssling@yahoo.com, 8941087719</w:t>
      </w:r>
      <w:r>
        <w:t xml:space="preserve"> </w:t>
      </w:r>
      <w:r>
        <w:rPr>
          <w:b/>
          <w:bCs/>
        </w:rPr>
        <w:t xml:space="preserve">Date of Submission:</w:t>
      </w:r>
      <w:r>
        <w:t xml:space="preserve"> </w:t>
      </w:r>
      <w:r>
        <w:t xml:space="preserve">November 02, 2025</w:t>
      </w:r>
    </w:p>
    <w:p>
      <w:r>
        <w:pict>
          <v:rect style="width:0;height:1.5pt" o:hralign="center" o:hrstd="t" o:hr="t"/>
        </w:pict>
      </w:r>
    </w:p>
    <w:p>
      <w:pPr>
        <w:pStyle w:val="FirstParagraph"/>
      </w:pPr>
      <w:r>
        <w:rPr>
          <w:i/>
          <w:iCs/>
        </w:rPr>
        <w:t xml:space="preserve">This manuscript was automatically generated using the HTA Automation System</w:t>
      </w:r>
      <w:r>
        <w:t xml:space="preserve"> </w:t>
      </w:r>
      <w:r>
        <w:rPr>
          <w:i/>
          <w:iCs/>
        </w:rPr>
        <w:t xml:space="preserve">All data sourced from real PubMed literature (no synthetic data used)</w:t>
      </w:r>
      <w:r>
        <w:t xml:space="preserve"> </w:t>
      </w:r>
      <w:r>
        <w:rPr>
          <w:i/>
          <w:iCs/>
        </w:rPr>
        <w:t xml:space="preserve">Manuscript format: IMRaD structure with complete references and analysis tables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2025-11-02T09:54:05Z</dcterms:created>
  <dcterms:modified xsi:type="dcterms:W3CDTF">2025-11-02T09:54:05Z</dcterms:modified>
</cp:coreProperties>
</file>

<file path=docProps/custom.xml><?xml version="1.0" encoding="utf-8"?>
<Properties xmlns="http://schemas.openxmlformats.org/officeDocument/2006/custom-properties" xmlns:vt="http://schemas.openxmlformats.org/officeDocument/2006/docPropsVTypes"/>
</file>