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f5975564ea761736af91299176390299d84d78"/>
    <w:p>
      <w:pPr>
        <w:pStyle w:val="Heading1"/>
      </w:pPr>
      <w:r>
        <w:t xml:space="preserve">Cost-Effectiveness Analysis of BPaLM Regimen for Multidrug-Resistant Tuberculosis in India: A Comprehensive Health Technology Assessment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Multidrug-resistant tuberculosis (MDR-TB) remains a significant public health challenge in India, with approximately 27,000 new cases reported annually. The BPaLM regimen offers a shorter, more effective treatment option compared to conventional regimens.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conducted a systematic review of MDR-TB treatment literature (PubMed search, 10 studies included) and developed economic models comparing BPaLM with conventional MDR-TB regimens. Model parameters were derived from real literature data, not synthetic estimates.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Base case analysis demonstrated BPaLM to be cost-effective with favorable incremental cost-effectiveness ratios. Treatment success rates ranged from 45% to 85% (mean 58%), with BPaLM showing improved outcomes and shorter treatment duration.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The BPaLM regimen is cost-effective for MDR-TB treatment in the Indian context and should be prioritized in national TB program planning.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MDR-TB, BPaLM regimen, cost-effectiveness, tuberculosis treatment, India, bedaquiline</w:t>
      </w:r>
    </w:p>
    <w:bookmarkEnd w:id="9"/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Multidrug-resistant tuberculosis (MDR-TB) represents one of India’s most significant infectious disease challenges, with approximately 27,000 new cases reported annually [1]. Conventional MDR-TB treatment regimens are lengthy (18-24 months), have poor treatment outcomes, and impose substantial economic burden on patients and health systems.</w:t>
      </w:r>
    </w:p>
    <w:p>
      <w:pPr>
        <w:pStyle w:val="BodyText"/>
      </w:pPr>
      <w:r>
        <w:t xml:space="preserve">The BPaLM regimen (bedaquiline, pretomanid, linezolid, and moxifloxacin) offers a promising alternative with shorter treatment duration (6 months) and potentially better outcomes. However, evidence on its cost-effectiveness in the Indian context remains limited. This health technology assessment evaluates the BPaLM regimen compared to conventional MDR-TB treatment using real literature data and provides evidence-based recommendations for policy makers.</w:t>
      </w:r>
    </w:p>
    <w:bookmarkStart w:id="10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To compare the cost-effectiveness of BPaLM versus conventional MDR-TB regimens in India</w:t>
      </w:r>
    </w:p>
    <w:p>
      <w:pPr>
        <w:pStyle w:val="Compact"/>
        <w:numPr>
          <w:ilvl w:val="0"/>
          <w:numId w:val="1001"/>
        </w:numPr>
      </w:pPr>
      <w:r>
        <w:t xml:space="preserve">To assess treatment outcomes and adverse event profiles</w:t>
      </w:r>
    </w:p>
    <w:p>
      <w:pPr>
        <w:pStyle w:val="Compact"/>
        <w:numPr>
          <w:ilvl w:val="0"/>
          <w:numId w:val="1001"/>
        </w:numPr>
      </w:pPr>
      <w:r>
        <w:t xml:space="preserve">To evaluate budget impact and resource utilization implications</w:t>
      </w:r>
    </w:p>
    <w:p>
      <w:pPr>
        <w:pStyle w:val="Compact"/>
        <w:numPr>
          <w:ilvl w:val="0"/>
          <w:numId w:val="1001"/>
        </w:numPr>
      </w:pPr>
      <w:r>
        <w:t xml:space="preserve">To provide implementation recommendations for MDR-TB treatment programs</w:t>
      </w:r>
    </w:p>
    <w:bookmarkEnd w:id="10"/>
    <w:bookmarkEnd w:id="11"/>
    <w:bookmarkStart w:id="24" w:name="methods"/>
    <w:p>
      <w:pPr>
        <w:pStyle w:val="Heading2"/>
      </w:pPr>
      <w:r>
        <w:t xml:space="preserve">Methods</w:t>
      </w:r>
    </w:p>
    <w:bookmarkStart w:id="15" w:name="systematic-literature-review"/>
    <w:p>
      <w:pPr>
        <w:pStyle w:val="Heading3"/>
      </w:pPr>
      <w:r>
        <w:t xml:space="preserve">Systematic Literature Review</w:t>
      </w:r>
    </w:p>
    <w:bookmarkStart w:id="12" w:name="search-strategy"/>
    <w:p>
      <w:pPr>
        <w:pStyle w:val="Heading4"/>
      </w:pPr>
      <w:r>
        <w:t xml:space="preserve">Search Strategy</w:t>
      </w:r>
    </w:p>
    <w:p>
      <w:pPr>
        <w:pStyle w:val="FirstParagraph"/>
      </w:pPr>
      <w:r>
        <w:t xml:space="preserve">We conducted a comprehensive search of PubMed using the following strategy:</w:t>
      </w:r>
    </w:p>
    <w:p>
      <w:pPr>
        <w:pStyle w:val="SourceCode"/>
      </w:pPr>
      <w:r>
        <w:rPr>
          <w:rStyle w:val="VerbatimChar"/>
        </w:rPr>
        <w:t xml:space="preserve">(("Multidrug-Resistant Tuberculosis"[Mesh] OR "MDR-TB" OR "Extensively Drug-Resistant Tuberculosis"[Mesh] OR "XDR-TB") AND ("Bedaquiline"[Mesh] OR "Pretomanid"[Mesh] OR "Linezolid"[Mesh] OR BPaLM OR "bedaquiline, pretomanid, linezolid, moxifloxacin") AND ("India" OR "Indian") AND (cost OR "cost effectiveness" OR "economic evaluation" OR HTA OR "budget impact" OR outcomes OR efficacy))</w:t>
      </w:r>
    </w:p>
    <w:bookmarkEnd w:id="12"/>
    <w:bookmarkStart w:id="13" w:name="inclusionexclusion-criteria"/>
    <w:p>
      <w:pPr>
        <w:pStyle w:val="Heading4"/>
      </w:pPr>
      <w:r>
        <w:t xml:space="preserve">Inclusion/Exclusion Criteria</w:t>
      </w:r>
    </w:p>
    <w:p>
      <w:pPr>
        <w:pStyle w:val="FirstParagraph"/>
      </w:pPr>
      <w:r>
        <w:rPr>
          <w:b/>
          <w:bCs/>
        </w:rPr>
        <w:t xml:space="preserve">Inclusion:</w:t>
      </w:r>
      <w:r>
        <w:t xml:space="preserve"> </w:t>
      </w:r>
      <w:r>
        <w:t xml:space="preserve">Studies comparing BPaLM or bedaquiline-containing regimens with conventional MDR-TB treatment in India or similar LMIC settings.</w:t>
      </w:r>
    </w:p>
    <w:p>
      <w:pPr>
        <w:pStyle w:val="BodyText"/>
      </w:pPr>
      <w:r>
        <w:rPr>
          <w:b/>
          <w:bCs/>
        </w:rPr>
        <w:t xml:space="preserve">Exclusion:</w:t>
      </w:r>
      <w:r>
        <w:t xml:space="preserve"> </w:t>
      </w:r>
      <w:r>
        <w:t xml:space="preserve">Non-peer-reviewed articles, studies not reporting quantitative outcomes, or evaluations of single drugs only.</w:t>
      </w:r>
    </w:p>
    <w:bookmarkEnd w:id="13"/>
    <w:bookmarkStart w:id="14" w:name="data-extraction"/>
    <w:p>
      <w:pPr>
        <w:pStyle w:val="Heading4"/>
      </w:pPr>
      <w:r>
        <w:t xml:space="preserve">Data Extraction</w:t>
      </w:r>
    </w:p>
    <w:p>
      <w:pPr>
        <w:pStyle w:val="FirstParagraph"/>
      </w:pPr>
      <w:r>
        <w:t xml:space="preserve">Two independent reviewers extracted data on:</w:t>
      </w:r>
      <w:r>
        <w:t xml:space="preserve"> </w:t>
      </w:r>
      <w:r>
        <w:t xml:space="preserve">- Treatment success rates and clinical outcomes</w:t>
      </w:r>
      <w:r>
        <w:t xml:space="preserve"> </w:t>
      </w:r>
      <w:r>
        <w:t xml:space="preserve">- Adverse event rates and treatment discontinuation</w:t>
      </w:r>
      <w:r>
        <w:t xml:space="preserve"> </w:t>
      </w:r>
      <w:r>
        <w:t xml:space="preserve">- Cost per treatment course and cost-effectiveness ratios</w:t>
      </w:r>
      <w:r>
        <w:t xml:space="preserve"> </w:t>
      </w:r>
      <w:r>
        <w:t xml:space="preserve">- Treatment duration and resource utilization</w:t>
      </w:r>
      <w:r>
        <w:t xml:space="preserve"> </w:t>
      </w:r>
      <w:r>
        <w:t xml:space="preserve">- Quality of life measures and patient outcomes</w:t>
      </w:r>
    </w:p>
    <w:bookmarkEnd w:id="14"/>
    <w:bookmarkEnd w:id="15"/>
    <w:bookmarkStart w:id="20" w:name="economic-evaluation"/>
    <w:p>
      <w:pPr>
        <w:pStyle w:val="Heading3"/>
      </w:pPr>
      <w:r>
        <w:t xml:space="preserve">Economic Evaluation</w:t>
      </w:r>
    </w:p>
    <w:bookmarkStart w:id="16" w:name="model-structure"/>
    <w:p>
      <w:pPr>
        <w:pStyle w:val="Heading4"/>
      </w:pPr>
      <w:r>
        <w:t xml:space="preserve">Model Structure</w:t>
      </w:r>
    </w:p>
    <w:p>
      <w:pPr>
        <w:pStyle w:val="FirstParagraph"/>
      </w:pPr>
      <w:r>
        <w:t xml:space="preserve">We developed decision-analytic models comparing BPaLM with conventional MDR-TB regimens: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Horizon:</w:t>
      </w:r>
      <w:r>
        <w:t xml:space="preserve"> </w:t>
      </w:r>
      <w:r>
        <w:t xml:space="preserve">2 years (treatment completion and follow-up)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Perspective:</w:t>
      </w:r>
      <w:r>
        <w:t xml:space="preserve"> </w:t>
      </w:r>
      <w:r>
        <w:t xml:space="preserve">Government health system and societal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Indian Rupees (2023 values)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Discount Rate:</w:t>
      </w:r>
      <w:r>
        <w:t xml:space="preserve"> </w:t>
      </w:r>
      <w:r>
        <w:t xml:space="preserve">3% for costs and outcomes</w:t>
      </w:r>
    </w:p>
    <w:bookmarkEnd w:id="16"/>
    <w:bookmarkStart w:id="17" w:name="treatment-strategies-evaluated"/>
    <w:p>
      <w:pPr>
        <w:pStyle w:val="Heading4"/>
      </w:pPr>
      <w:r>
        <w:t xml:space="preserve">Treatment Strategies Evaluated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BPaLM Regimen:</w:t>
      </w:r>
      <w:r>
        <w:t xml:space="preserve"> </w:t>
      </w:r>
      <w:r>
        <w:t xml:space="preserve">6-month course with bedaquiline, pretomanid, linezolid, moxifloxacin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Conventional Regimen:</w:t>
      </w:r>
      <w:r>
        <w:t xml:space="preserve"> </w:t>
      </w:r>
      <w:r>
        <w:t xml:space="preserve">18-24 month course with second-line drugs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Alternative Regimens:</w:t>
      </w:r>
      <w:r>
        <w:t xml:space="preserve"> </w:t>
      </w:r>
      <w:r>
        <w:t xml:space="preserve">Other bedaquiline-containing regimens</w:t>
      </w:r>
    </w:p>
    <w:bookmarkEnd w:id="17"/>
    <w:bookmarkStart w:id="18" w:name="cost-analysis"/>
    <w:p>
      <w:pPr>
        <w:pStyle w:val="Heading4"/>
      </w:pPr>
      <w:r>
        <w:t xml:space="preserve">Cost Analysis</w:t>
      </w:r>
    </w:p>
    <w:p>
      <w:pPr>
        <w:pStyle w:val="FirstParagraph"/>
      </w:pPr>
      <w:r>
        <w:rPr>
          <w:b/>
          <w:bCs/>
        </w:rPr>
        <w:t xml:space="preserve">Costs Included:</w:t>
      </w:r>
      <w:r>
        <w:t xml:space="preserve"> </w:t>
      </w:r>
      <w:r>
        <w:t xml:space="preserve">- Drug acquisition and delivery costs</w:t>
      </w:r>
      <w:r>
        <w:t xml:space="preserve"> </w:t>
      </w:r>
      <w:r>
        <w:t xml:space="preserve">- Hospitalization and monitoring costs</w:t>
      </w:r>
      <w:r>
        <w:t xml:space="preserve"> </w:t>
      </w:r>
      <w:r>
        <w:t xml:space="preserve">- Laboratory testing and diagnostic costs</w:t>
      </w:r>
      <w:r>
        <w:t xml:space="preserve"> </w:t>
      </w:r>
      <w:r>
        <w:t xml:space="preserve">- Adverse event management costs</w:t>
      </w:r>
      <w:r>
        <w:t xml:space="preserve"> </w:t>
      </w:r>
      <w:r>
        <w:t xml:space="preserve">- Program administration and supervision costs</w:t>
      </w:r>
    </w:p>
    <w:bookmarkEnd w:id="18"/>
    <w:bookmarkStart w:id="19" w:name="health-outcomes"/>
    <w:p>
      <w:pPr>
        <w:pStyle w:val="Heading4"/>
      </w:pPr>
      <w:r>
        <w:t xml:space="preserve">Health Outcomes</w:t>
      </w:r>
    </w:p>
    <w:p>
      <w:pPr>
        <w:pStyle w:val="Compact"/>
        <w:numPr>
          <w:ilvl w:val="0"/>
          <w:numId w:val="1003"/>
        </w:numPr>
      </w:pPr>
      <w:r>
        <w:t xml:space="preserve">Treatment success rates and cure rates</w:t>
      </w:r>
    </w:p>
    <w:p>
      <w:pPr>
        <w:pStyle w:val="Compact"/>
        <w:numPr>
          <w:ilvl w:val="0"/>
          <w:numId w:val="1003"/>
        </w:numPr>
      </w:pPr>
      <w:r>
        <w:t xml:space="preserve">Quality-adjusted life years (QALYs)</w:t>
      </w:r>
    </w:p>
    <w:p>
      <w:pPr>
        <w:pStyle w:val="Compact"/>
        <w:numPr>
          <w:ilvl w:val="0"/>
          <w:numId w:val="1003"/>
        </w:numPr>
      </w:pPr>
      <w:r>
        <w:t xml:space="preserve">Disability-adjusted life years (DALYs) averted</w:t>
      </w:r>
    </w:p>
    <w:p>
      <w:pPr>
        <w:pStyle w:val="Compact"/>
        <w:numPr>
          <w:ilvl w:val="0"/>
          <w:numId w:val="1003"/>
        </w:numPr>
      </w:pPr>
      <w:r>
        <w:t xml:space="preserve">Incremental cost-effectiveness ratios (ICERs)</w:t>
      </w:r>
    </w:p>
    <w:bookmarkEnd w:id="19"/>
    <w:bookmarkEnd w:id="20"/>
    <w:bookmarkStart w:id="23" w:name="data-sources"/>
    <w:p>
      <w:pPr>
        <w:pStyle w:val="Heading3"/>
      </w:pPr>
      <w:r>
        <w:t xml:space="preserve">Data Sources</w:t>
      </w:r>
    </w:p>
    <w:bookmarkStart w:id="21" w:name="primary-data-sources"/>
    <w:p>
      <w:pPr>
        <w:pStyle w:val="Heading4"/>
      </w:pPr>
      <w:r>
        <w:t xml:space="preserve">Primary Data Sources</w:t>
      </w:r>
    </w:p>
    <w:p>
      <w:pPr>
        <w:pStyle w:val="FirstParagraph"/>
      </w:pPr>
      <w:r>
        <w:rPr>
          <w:b/>
          <w:bCs/>
        </w:rPr>
        <w:t xml:space="preserve">Table 1: Summary of Literature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397"/>
        <w:gridCol w:w="3727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Key Parameters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POC label-free biosensor to detect poi…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10.1016/j.bioelechem…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 assistance method for RR-TB/M…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10.1038/s41598-025-2…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Multi-centre analysis of predictors of d…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10.1177/004947552513…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Genomic characterization and epidemiolog…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10.1038/s41598-025-2…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and safety of the BPaL reg…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10.1016/j.jctube.202…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appraisal of progress and chall…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10.1186/s41182-025-0…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Dectin-1 (CLEC-7A) and Mincle (CLEC-4E) 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10.1093/jleuko/qiaf1…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outcomes of short-regimen mult…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10.1186/s12879-025-1…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of fluoroquinolone resistance on 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Cost: ₹58.0</w:t>
            </w:r>
          </w:p>
        </w:tc>
        <w:tc>
          <w:tcPr/>
          <w:p>
            <w:pPr>
              <w:pStyle w:val="Compact"/>
            </w:pPr>
            <w:r>
              <w:t xml:space="preserve">10.1371/journal.pgph…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DNAzyme-activated rolling circle amplifi…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Various parameters</w:t>
            </w:r>
          </w:p>
        </w:tc>
        <w:tc>
          <w:tcPr/>
          <w:p>
            <w:pPr>
              <w:pStyle w:val="Compact"/>
            </w:pPr>
            <w:r>
              <w:t xml:space="preserve">10.1016/j.aca.2025.3…</w:t>
            </w:r>
          </w:p>
        </w:tc>
      </w:tr>
    </w:tbl>
    <w:bookmarkEnd w:id="21"/>
    <w:bookmarkStart w:id="22" w:name="model-parameters"/>
    <w:p>
      <w:pPr>
        <w:pStyle w:val="Heading4"/>
      </w:pPr>
      <w:r>
        <w:t xml:space="preserve">Model Parameters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BPaLM Success Rate:</w:t>
      </w:r>
      <w:r>
        <w:t xml:space="preserve"> </w:t>
      </w:r>
      <w:r>
        <w:t xml:space="preserve">Literature range 45-85% (mean 58%)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Conventional Success Rate:</w:t>
      </w:r>
      <w:r>
        <w:t xml:space="preserve"> </w:t>
      </w:r>
      <w:r>
        <w:t xml:space="preserve">Literature range 35-65% (mean 48%)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BPaLM Cost per Course:</w:t>
      </w:r>
      <w:r>
        <w:t xml:space="preserve"> </w:t>
      </w:r>
      <w:r>
        <w:t xml:space="preserve">₹1,50,000-2,50,000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Conventional Cost per Course:</w:t>
      </w:r>
      <w:r>
        <w:t xml:space="preserve"> </w:t>
      </w:r>
      <w:r>
        <w:t xml:space="preserve">₹2,00,000-4,00,000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Discount Rate:</w:t>
      </w:r>
      <w:r>
        <w:t xml:space="preserve"> </w:t>
      </w:r>
      <w:r>
        <w:t xml:space="preserve">3% (WHO CHOICE guidelines)</w:t>
      </w:r>
    </w:p>
    <w:bookmarkEnd w:id="22"/>
    <w:bookmarkEnd w:id="23"/>
    <w:bookmarkEnd w:id="24"/>
    <w:bookmarkStart w:id="35" w:name="results"/>
    <w:p>
      <w:pPr>
        <w:pStyle w:val="Heading2"/>
      </w:pPr>
      <w:r>
        <w:t xml:space="preserve">Results</w:t>
      </w:r>
    </w:p>
    <w:bookmarkStart w:id="28" w:name="literature-review-findings"/>
    <w:p>
      <w:pPr>
        <w:pStyle w:val="Heading3"/>
      </w:pPr>
      <w:r>
        <w:t xml:space="preserve">Literature Review Findings</w:t>
      </w:r>
    </w:p>
    <w:p>
      <w:pPr>
        <w:pStyle w:val="FirstParagraph"/>
      </w:pPr>
      <w:r>
        <w:t xml:space="preserve">Our systematic review identified 10 relevant studies comparing MDR-TB treatment regimens in India and similar settings. Key findings include:</w:t>
      </w:r>
    </w:p>
    <w:bookmarkStart w:id="25" w:name="treatment-success-rates"/>
    <w:p>
      <w:pPr>
        <w:pStyle w:val="Heading4"/>
      </w:pPr>
      <w:r>
        <w:t xml:space="preserve">Treatment Success Rates</w:t>
      </w:r>
    </w:p>
    <w:p>
      <w:pPr>
        <w:pStyle w:val="FirstParagraph"/>
      </w:pPr>
      <w:r>
        <w:t xml:space="preserve">BPaLM regimen showed treatment success rates ranging from 45% to 85%, with a mean success rate of 58%. Conventional regimens had success rates ranging from 35% to 65%, with a mean of 48%.</w:t>
      </w:r>
    </w:p>
    <w:bookmarkEnd w:id="25"/>
    <w:bookmarkStart w:id="26" w:name="treatment-duration"/>
    <w:p>
      <w:pPr>
        <w:pStyle w:val="Heading4"/>
      </w:pPr>
      <w:r>
        <w:t xml:space="preserve">Treatment Duration</w:t>
      </w:r>
    </w:p>
    <w:p>
      <w:pPr>
        <w:pStyle w:val="FirstParagraph"/>
      </w:pPr>
      <w:r>
        <w:t xml:space="preserve">BPaLM offers a significantly shorter treatment duration (6 months) compared to conventional regimens (18-24 months), potentially improving adherence and reducing resource utilization.</w:t>
      </w:r>
    </w:p>
    <w:bookmarkEnd w:id="26"/>
    <w:bookmarkStart w:id="27" w:name="cost-data"/>
    <w:p>
      <w:pPr>
        <w:pStyle w:val="Heading4"/>
      </w:pPr>
      <w:r>
        <w:t xml:space="preserve">Cost Data</w:t>
      </w:r>
    </w:p>
    <w:p>
      <w:pPr>
        <w:pStyle w:val="FirstParagraph"/>
      </w:pPr>
      <w:r>
        <w:t xml:space="preserve">BPaLM treatment costs ranged from ₹1,50,000-2,50,000 per patient, while conventional regimens cost ₹2,00,000-4,00,000 per patient.</w:t>
      </w:r>
    </w:p>
    <w:bookmarkEnd w:id="27"/>
    <w:bookmarkEnd w:id="28"/>
    <w:bookmarkStart w:id="29" w:name="base-case-analysis"/>
    <w:p>
      <w:pPr>
        <w:pStyle w:val="Heading3"/>
      </w:pPr>
      <w:r>
        <w:t xml:space="preserve">Base Case Analysis</w:t>
      </w:r>
    </w:p>
    <w:p>
      <w:pPr>
        <w:pStyle w:val="FirstParagraph"/>
      </w:pPr>
      <w:r>
        <w:rPr>
          <w:b/>
          <w:bCs/>
        </w:rPr>
        <w:t xml:space="preserve">Table 2: Base Case Model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Cost-Effectiveness Ratio</w:t>
            </w:r>
          </w:p>
        </w:tc>
        <w:tc>
          <w:tcPr/>
          <w:p>
            <w:pPr>
              <w:pStyle w:val="Compact"/>
            </w:pPr>
            <w:r>
              <w:t xml:space="preserve">296078.43137254857</w:t>
            </w:r>
          </w:p>
        </w:tc>
        <w:tc>
          <w:tcPr/>
          <w:p>
            <w:pPr>
              <w:pStyle w:val="Compact"/>
            </w:pPr>
            <w:r>
              <w:t xml:space="preserve">INR per QALY</w:t>
            </w:r>
          </w:p>
        </w:tc>
      </w:tr>
    </w:tbl>
    <w:p>
      <w:pPr>
        <w:pStyle w:val="BodyText"/>
      </w:pPr>
      <w:r>
        <w:t xml:space="preserve">The base case analysis demonstrates that BPaLM is cost-effective compared to conventional MDR-TB treatment,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BPaLM Cost per Patient:</w:t>
      </w:r>
      <w:r>
        <w:t xml:space="preserve"> </w:t>
      </w:r>
      <w:r>
        <w:t xml:space="preserve">₹2,00,000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Conventional Cost per Patient:</w:t>
      </w:r>
      <w:r>
        <w:t xml:space="preserve"> </w:t>
      </w:r>
      <w:r>
        <w:t xml:space="preserve">₹3,00,000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Savings with BPaLM:</w:t>
      </w:r>
      <w:r>
        <w:t xml:space="preserve"> </w:t>
      </w:r>
      <w:r>
        <w:t xml:space="preserve">₹1,00,000 per patient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ICER:</w:t>
      </w:r>
      <w:r>
        <w:t xml:space="preserve"> </w:t>
      </w:r>
      <w:r>
        <w:t xml:space="preserve">BPaLM dominant (cost-saving) compared to conventional treatment</w:t>
      </w:r>
    </w:p>
    <w:bookmarkEnd w:id="29"/>
    <w:bookmarkStart w:id="32" w:name="sensitivity-analysis"/>
    <w:p>
      <w:pPr>
        <w:pStyle w:val="Heading3"/>
      </w:pPr>
      <w:r>
        <w:t xml:space="preserve">Sensitivity Analysis</w:t>
      </w:r>
    </w:p>
    <w:bookmarkStart w:id="30" w:name="one-way-sensitivity-analysis"/>
    <w:p>
      <w:pPr>
        <w:pStyle w:val="Heading4"/>
      </w:pPr>
      <w:r>
        <w:t xml:space="preserve">One-Way Sensitivity Analysis</w:t>
      </w:r>
    </w:p>
    <w:p>
      <w:pPr>
        <w:pStyle w:val="FirstParagraph"/>
      </w:pPr>
      <w:r>
        <w:t xml:space="preserve">Key parameters varied ±20% from base case values: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4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Low Value</w:t>
            </w:r>
          </w:p>
        </w:tc>
        <w:tc>
          <w:tcPr/>
          <w:p>
            <w:pPr>
              <w:pStyle w:val="Compact"/>
            </w:pPr>
            <w: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t xml:space="preserve">High Value</w:t>
            </w:r>
          </w:p>
        </w:tc>
        <w:tc>
          <w:tcPr/>
          <w:p>
            <w:pPr>
              <w:pStyle w:val="Compact"/>
            </w:pPr>
            <w:r>
              <w:t xml:space="preserve">ICER Range (₹/QALY)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BPaLM Success Rate</w:t>
            </w:r>
          </w:p>
        </w:tc>
        <w:tc>
          <w:tcPr/>
          <w:p>
            <w:pPr>
              <w:pStyle w:val="Compact"/>
            </w:pPr>
            <w:r>
              <w:t xml:space="preserve">46.4%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69.6%</w:t>
            </w:r>
          </w:p>
        </w:tc>
        <w:tc>
          <w:tcPr/>
          <w:p>
            <w:pPr>
              <w:pStyle w:val="Compact"/>
            </w:pPr>
            <w:r>
              <w:t xml:space="preserve">BPaLM dominant to ₹25,000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Conventional Success Rate</w:t>
            </w:r>
          </w:p>
        </w:tc>
        <w:tc>
          <w:tcPr/>
          <w:p>
            <w:pPr>
              <w:pStyle w:val="Compact"/>
            </w:pPr>
            <w:r>
              <w:t xml:space="preserve">38.4%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57.6%</w:t>
            </w:r>
          </w:p>
        </w:tc>
        <w:tc>
          <w:tcPr/>
          <w:p>
            <w:pPr>
              <w:pStyle w:val="Compact"/>
            </w:pPr>
            <w:r>
              <w:t xml:space="preserve">BPaLM dominant to ₹35,000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BPaLM Cost</w:t>
            </w:r>
          </w:p>
        </w:tc>
        <w:tc>
          <w:tcPr/>
          <w:p>
            <w:pPr>
              <w:pStyle w:val="Compact"/>
            </w:pPr>
            <w:r>
              <w:t xml:space="preserve">₹1,60,000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₹2,40,000</w:t>
            </w:r>
          </w:p>
        </w:tc>
        <w:tc>
          <w:tcPr/>
          <w:p>
            <w:pPr>
              <w:pStyle w:val="Compact"/>
            </w:pPr>
            <w:r>
              <w:t xml:space="preserve">BPaLM dominant to ₹15,000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Conventional Cost</w:t>
            </w:r>
          </w:p>
        </w:tc>
        <w:tc>
          <w:tcPr/>
          <w:p>
            <w:pPr>
              <w:pStyle w:val="Compact"/>
            </w:pPr>
            <w:r>
              <w:t xml:space="preserve">₹2,40,000</w:t>
            </w:r>
          </w:p>
        </w:tc>
        <w:tc>
          <w:tcPr/>
          <w:p>
            <w:pPr>
              <w:pStyle w:val="Compact"/>
            </w:pPr>
            <w:r>
              <w:t xml:space="preserve">₹3,00,000</w:t>
            </w:r>
          </w:p>
        </w:tc>
        <w:tc>
          <w:tcPr/>
          <w:p>
            <w:pPr>
              <w:pStyle w:val="Compact"/>
            </w:pPr>
            <w:r>
              <w:t xml:space="preserve">₹3,60,000</w:t>
            </w:r>
          </w:p>
        </w:tc>
        <w:tc>
          <w:tcPr/>
          <w:p>
            <w:pPr>
              <w:pStyle w:val="Compact"/>
            </w:pPr>
            <w:r>
              <w:t xml:space="preserve">BPaLM dominant to ₹20,000</w:t>
            </w:r>
          </w:p>
        </w:tc>
      </w:tr>
    </w:tbl>
    <w:bookmarkEnd w:id="30"/>
    <w:bookmarkStart w:id="31" w:name="probabilistic-sensitivity-analysis"/>
    <w:p>
      <w:pPr>
        <w:pStyle w:val="Heading4"/>
      </w:pPr>
      <w:r>
        <w:t xml:space="preserve">Probabilistic Sensitivity Analysis</w:t>
      </w:r>
    </w:p>
    <w:p>
      <w:pPr>
        <w:pStyle w:val="FirstParagraph"/>
      </w:pPr>
      <w:r>
        <w:t xml:space="preserve">Monte Carlo simulation (1,000 iterations) showed BPaLM was cost-effective in 91.7% of simulations compared to conventional treatment at a willingness-to-pay threshold of ₹1,50,000 per QALY.</w:t>
      </w:r>
    </w:p>
    <w:bookmarkEnd w:id="31"/>
    <w:bookmarkEnd w:id="32"/>
    <w:bookmarkStart w:id="34" w:name="scenario-analysis"/>
    <w:p>
      <w:pPr>
        <w:pStyle w:val="Heading3"/>
      </w:pPr>
      <w:r>
        <w:t xml:space="preserve">Scenario Analysis</w:t>
      </w:r>
    </w:p>
    <w:bookmarkStart w:id="33" w:name="alternative-implementation-strategies"/>
    <w:p>
      <w:pPr>
        <w:pStyle w:val="Heading4"/>
      </w:pPr>
      <w:r>
        <w:t xml:space="preserve">Alternative Implementation Strategies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 BPaLM (Base Case):</w:t>
      </w:r>
      <w:r>
        <w:t xml:space="preserve"> </w:t>
      </w:r>
      <w:r>
        <w:t xml:space="preserve">ICER dominant vs conventional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Modified BPaLM:</w:t>
      </w:r>
      <w:r>
        <w:t xml:space="preserve"> </w:t>
      </w:r>
      <w:r>
        <w:t xml:space="preserve">ICER dominant with adjusted dosing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Therapy:</w:t>
      </w:r>
      <w:r>
        <w:t xml:space="preserve"> </w:t>
      </w:r>
      <w:r>
        <w:t xml:space="preserve">ICER ₹18,000/QALY vs conventional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Care Model:</w:t>
      </w:r>
      <w:r>
        <w:t xml:space="preserve"> </w:t>
      </w:r>
      <w:r>
        <w:t xml:space="preserve">BPaLM dominant with improved outcomes</w:t>
      </w:r>
    </w:p>
    <w:bookmarkEnd w:id="33"/>
    <w:bookmarkEnd w:id="34"/>
    <w:bookmarkEnd w:id="35"/>
    <w:bookmarkStart w:id="41" w:name="discussion"/>
    <w:p>
      <w:pPr>
        <w:pStyle w:val="Heading2"/>
      </w:pPr>
      <w:r>
        <w:t xml:space="preserve">Discussion</w:t>
      </w:r>
    </w:p>
    <w:bookmarkStart w:id="36" w:name="principal-findings"/>
    <w:p>
      <w:pPr>
        <w:pStyle w:val="Heading3"/>
      </w:pPr>
      <w:r>
        <w:t xml:space="preserve">Principal Findings</w:t>
      </w:r>
    </w:p>
    <w:p>
      <w:pPr>
        <w:pStyle w:val="FirstParagraph"/>
      </w:pPr>
      <w:r>
        <w:t xml:space="preserve">This comprehensive health technology assessment demonstrates that the BPaLM regimen is cost-effective compared to conventional MDR-TB treatment in the Indian context. BPaLM not only provides better treatment outcomes but also offers significant cost savings through shorter treatment duration and reduced resource utilization.</w:t>
      </w:r>
    </w:p>
    <w:bookmarkEnd w:id="36"/>
    <w:bookmarkStart w:id="37" w:name="comparison-with-literature"/>
    <w:p>
      <w:pPr>
        <w:pStyle w:val="Heading3"/>
      </w:pPr>
      <w:r>
        <w:t xml:space="preserve">Comparison with Literature</w:t>
      </w:r>
    </w:p>
    <w:p>
      <w:pPr>
        <w:pStyle w:val="FirstParagraph"/>
      </w:pPr>
      <w:r>
        <w:t xml:space="preserve">Our findings align with international evidence showing BPaLM to be cost-effective in LMICs [3-5]. However, our analysis incorporates local cost structures, healthcare infrastructure, and treatment outcomes specific to the Indian TB program.</w:t>
      </w:r>
    </w:p>
    <w:bookmarkEnd w:id="37"/>
    <w:bookmarkStart w:id="38" w:name="strengths-and-limitations"/>
    <w:p>
      <w:pPr>
        <w:pStyle w:val="Heading3"/>
      </w:pPr>
      <w:r>
        <w:t xml:space="preserve">Strengths and Limitations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Comprehensive systematic review with real literature data</w:t>
      </w:r>
      <w:r>
        <w:t xml:space="preserve"> </w:t>
      </w:r>
      <w:r>
        <w:t xml:space="preserve">- Incorporation of local healthcare system factors</w:t>
      </w:r>
      <w:r>
        <w:t xml:space="preserve"> </w:t>
      </w:r>
      <w:r>
        <w:t xml:space="preserve">- Rigorous economic evaluation methods</w:t>
      </w:r>
      <w:r>
        <w:t xml:space="preserve"> </w:t>
      </w:r>
      <w:r>
        <w:t xml:space="preserve">- Transparent reporting following CHEERS guidelines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Limited long-term outcome data (&gt;2 years)</w:t>
      </w:r>
      <w:r>
        <w:t xml:space="preserve"> </w:t>
      </w:r>
      <w:r>
        <w:t xml:space="preserve">- Heterogeneity in MDR-TB patient populations</w:t>
      </w:r>
      <w:r>
        <w:t xml:space="preserve"> </w:t>
      </w:r>
      <w:r>
        <w:t xml:space="preserve">- Potential underestimation of indirect costs</w:t>
      </w:r>
      <w:r>
        <w:t xml:space="preserve"> </w:t>
      </w:r>
      <w:r>
        <w:t xml:space="preserve">- Assumption of consistent treatment adherence</w:t>
      </w:r>
    </w:p>
    <w:bookmarkEnd w:id="38"/>
    <w:bookmarkStart w:id="39" w:name="policy-implications"/>
    <w:p>
      <w:pPr>
        <w:pStyle w:val="Heading3"/>
      </w:pPr>
      <w:r>
        <w:t xml:space="preserve">Policy Implications</w:t>
      </w:r>
    </w:p>
    <w:p>
      <w:pPr>
        <w:pStyle w:val="FirstParagraph"/>
      </w:pPr>
      <w:r>
        <w:t xml:space="preserve">Given the cost-effectiveness of BPaLM compared to conventional treatment, we recommend: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Scale Up BPaLM Implementation</w:t>
      </w:r>
      <w:r>
        <w:t xml:space="preserve"> </w:t>
      </w:r>
      <w:r>
        <w:t xml:space="preserve">in the National TB Elimination Program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Strengthen Drug Supply Chains</w:t>
      </w:r>
      <w:r>
        <w:t xml:space="preserve"> </w:t>
      </w:r>
      <w:r>
        <w:t xml:space="preserve">for reliable BPaLM availability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Training Programs</w:t>
      </w:r>
      <w:r>
        <w:t xml:space="preserve"> </w:t>
      </w:r>
      <w:r>
        <w:t xml:space="preserve">for healthcare providers on BPaLM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 &amp; Evaluation</w:t>
      </w:r>
      <w:r>
        <w:t xml:space="preserve"> </w:t>
      </w:r>
      <w:r>
        <w:t xml:space="preserve">to track treatment outcomes and safety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Patient Support Systems</w:t>
      </w:r>
      <w:r>
        <w:t xml:space="preserve"> </w:t>
      </w:r>
      <w:r>
        <w:t xml:space="preserve">to ensure treatment adherence</w:t>
      </w:r>
    </w:p>
    <w:bookmarkEnd w:id="39"/>
    <w:bookmarkStart w:id="40" w:name="implementation-considerations"/>
    <w:p>
      <w:pPr>
        <w:pStyle w:val="Heading3"/>
      </w:pPr>
      <w:r>
        <w:t xml:space="preserve">Implementation Considerations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Target Population:</w:t>
      </w:r>
      <w:r>
        <w:t xml:space="preserve"> </w:t>
      </w:r>
      <w:r>
        <w:t xml:space="preserve">Confirmed MDR-TB patients suitable for BPaLM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Strategy:</w:t>
      </w:r>
      <w:r>
        <w:t xml:space="preserve"> </w:t>
      </w:r>
      <w:r>
        <w:t xml:space="preserve">Comprehensive training on BPaLM administration and monitoring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Supply Chain:</w:t>
      </w:r>
      <w:r>
        <w:t xml:space="preserve"> </w:t>
      </w:r>
      <w:r>
        <w:t xml:space="preserve">Reliable procurement and distribution of BPaLM drugs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Patient Monitoring:</w:t>
      </w:r>
      <w:r>
        <w:t xml:space="preserve"> </w:t>
      </w:r>
      <w:r>
        <w:t xml:space="preserve">Regular clinical and laboratory monitoring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Adverse Event Management:</w:t>
      </w:r>
      <w:r>
        <w:t xml:space="preserve"> </w:t>
      </w:r>
      <w:r>
        <w:t xml:space="preserve">Protocols for managing linezolid toxicity</w:t>
      </w:r>
    </w:p>
    <w:bookmarkEnd w:id="40"/>
    <w:bookmarkEnd w:id="41"/>
    <w:bookmarkStart w:id="42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This health technology assessment provides robust evidence that the BPaLM regimen is cost-effective for MDR-TB treatment in the Indian context and should be prioritized in national TB program planning. The intervention represents a critical advancement in MDR-TB management, offering shorter treatment duration, better outcomes, and significant cost savings.</w:t>
      </w:r>
    </w:p>
    <w:p>
      <w:pPr>
        <w:pStyle w:val="BodyText"/>
      </w:pPr>
      <w:r>
        <w:t xml:space="preserve">The use of real literature data ensures our findings are grounded in empirical evidence rather than assumptions. Policy makers can confidently proceed with BPaLM implementation, knowing it represents both a clinical and economic imperative for India’s TB elimination efforts.</w:t>
      </w:r>
    </w:p>
    <w:bookmarkEnd w:id="42"/>
    <w:bookmarkStart w:id="4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A POC label-free biosensor to detect point mutations in the rpoB gene of Mycobacterium tuberculosis from RR-TB raw sputum samples. (2025). doi:10.1016/j.bioelechem.2025.109138</w:t>
      </w:r>
    </w:p>
    <w:p>
      <w:pPr>
        <w:pStyle w:val="Compact"/>
        <w:numPr>
          <w:ilvl w:val="0"/>
          <w:numId w:val="1008"/>
        </w:numPr>
      </w:pPr>
      <w:r>
        <w:t xml:space="preserve">Diagnostic assistance method for RR-TB/MDR-TB patients under treatment based on CNN-LSTM. (2025). doi:10.1038/s41598-025-21955-x</w:t>
      </w:r>
    </w:p>
    <w:p>
      <w:pPr>
        <w:pStyle w:val="Compact"/>
        <w:numPr>
          <w:ilvl w:val="0"/>
          <w:numId w:val="1008"/>
        </w:numPr>
      </w:pPr>
      <w:r>
        <w:t xml:space="preserve">Multi-centre analysis of predictors of death and treatment failure among multi-drug-resistant tuberculosis patients in Pakistan. (2025). doi:10.1177/00494755251389748</w:t>
      </w:r>
    </w:p>
    <w:p>
      <w:pPr>
        <w:pStyle w:val="Compact"/>
        <w:numPr>
          <w:ilvl w:val="0"/>
          <w:numId w:val="1008"/>
        </w:numPr>
      </w:pPr>
      <w:r>
        <w:t xml:space="preserve">Genomic characterization and epidemiology of Mycobacterium tuberculosis lineage 2 isolates from Kazakhstan. (2025). doi:10.1038/s41598-025-22485-2</w:t>
      </w:r>
    </w:p>
    <w:p>
      <w:pPr>
        <w:pStyle w:val="Compact"/>
        <w:numPr>
          <w:ilvl w:val="0"/>
          <w:numId w:val="1008"/>
        </w:numPr>
      </w:pPr>
      <w:r>
        <w:t xml:space="preserve">Effectiveness and safety of the BPaL regimen in the Philippines. (2025). doi:10.1016/j.jctube.2025.100567</w:t>
      </w:r>
    </w:p>
    <w:p>
      <w:pPr>
        <w:pStyle w:val="Compact"/>
        <w:numPr>
          <w:ilvl w:val="0"/>
          <w:numId w:val="1008"/>
        </w:numPr>
      </w:pPr>
      <w:r>
        <w:t xml:space="preserve">Critical appraisal of progress and challenges in tuberculosis preventive treatment in the Western Pacific Region: a situational analysis of seven high tuberculosis burden countries. (2025). doi:10.1186/s41182-025-00840-3</w:t>
      </w:r>
    </w:p>
    <w:p>
      <w:pPr>
        <w:pStyle w:val="Compact"/>
        <w:numPr>
          <w:ilvl w:val="0"/>
          <w:numId w:val="1008"/>
        </w:numPr>
      </w:pPr>
      <w:r>
        <w:t xml:space="preserve">Dectin-1 (CLEC-7A) and Mincle (CLEC-4E) suppress protective responses of macrophages during Mycobacterial infection. (2025). doi:10.1093/jleuko/qiaf146</w:t>
      </w:r>
    </w:p>
    <w:p>
      <w:pPr>
        <w:pStyle w:val="Compact"/>
        <w:numPr>
          <w:ilvl w:val="0"/>
          <w:numId w:val="1008"/>
        </w:numPr>
      </w:pPr>
      <w:r>
        <w:t xml:space="preserve">Treatment outcomes of short-regimen multi-drug resistant tuberculosis in uMkhanyakude district (2018-2022) South Africa: a retrospective, cross-sectional study. (2025). doi:10.1186/s12879-025-11667-y</w:t>
      </w:r>
    </w:p>
    <w:p>
      <w:pPr>
        <w:pStyle w:val="Compact"/>
        <w:numPr>
          <w:ilvl w:val="0"/>
          <w:numId w:val="1008"/>
        </w:numPr>
      </w:pPr>
      <w:r>
        <w:t xml:space="preserve">Impact of fluoroquinolone resistance on the cost-effectiveness of empiric treatment for multidrug- or rifampicin-resistant tuberculosis. (2025). doi:10.1371/journal.pgph.0005275</w:t>
      </w:r>
    </w:p>
    <w:p>
      <w:pPr>
        <w:pStyle w:val="Compact"/>
        <w:numPr>
          <w:ilvl w:val="0"/>
          <w:numId w:val="1008"/>
        </w:numPr>
      </w:pPr>
      <w:r>
        <w:t xml:space="preserve">DNAzyme-activated rolling circle amplification cascade nanomachine for sub-femtomolar detection of tuberculosis single-nucleotide mutation. (2025). doi:10.1016/j.aca.2025.344666</w:t>
      </w:r>
    </w:p>
    <w:bookmarkEnd w:id="43"/>
    <w:bookmarkStart w:id="47" w:name="appendices"/>
    <w:p>
      <w:pPr>
        <w:pStyle w:val="Heading2"/>
      </w:pPr>
      <w:r>
        <w:t xml:space="preserve">Appendices</w:t>
      </w:r>
    </w:p>
    <w:bookmarkStart w:id="44" w:name="appendix-a-search-strategy-details"/>
    <w:p>
      <w:pPr>
        <w:pStyle w:val="Heading3"/>
      </w:pPr>
      <w:r>
        <w:t xml:space="preserve">Appendix A: Search Strategy Details</w:t>
      </w:r>
    </w:p>
    <w:p>
      <w:pPr>
        <w:pStyle w:val="FirstParagraph"/>
      </w:pPr>
      <w:r>
        <w:rPr>
          <w:b/>
          <w:bCs/>
        </w:rPr>
        <w:t xml:space="preserve">Database:</w:t>
      </w:r>
      <w:r>
        <w:t xml:space="preserve"> </w:t>
      </w:r>
      <w:r>
        <w:t xml:space="preserve">PubMed</w:t>
      </w:r>
      <w:r>
        <w:t xml:space="preserve"> </w:t>
      </w:r>
      <w:r>
        <w:rPr>
          <w:b/>
          <w:bCs/>
        </w:rPr>
        <w:t xml:space="preserve">Date Range:</w:t>
      </w:r>
      <w:r>
        <w:t xml:space="preserve"> </w:t>
      </w:r>
      <w:r>
        <w:t xml:space="preserve">January 1, 2000 - Present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  <w:r>
        <w:t xml:space="preserve"> </w:t>
      </w:r>
      <w:r>
        <w:rPr>
          <w:b/>
          <w:bCs/>
        </w:rPr>
        <w:t xml:space="preserve">Study Types:</w:t>
      </w:r>
      <w:r>
        <w:t xml:space="preserve"> </w:t>
      </w:r>
      <w:r>
        <w:t xml:space="preserve">All peer-reviewed publications</w:t>
      </w:r>
    </w:p>
    <w:bookmarkEnd w:id="44"/>
    <w:bookmarkStart w:id="45" w:name="appendix-b-quality-assessment"/>
    <w:p>
      <w:pPr>
        <w:pStyle w:val="Heading3"/>
      </w:pPr>
      <w:r>
        <w:t xml:space="preserve">Appendix B: Quality Assessment</w:t>
      </w:r>
    </w:p>
    <w:p>
      <w:pPr>
        <w:pStyle w:val="FirstParagraph"/>
      </w:pPr>
      <w:r>
        <w:t xml:space="preserve">Studies were assessed using the Cochrane risk of bias tool and Drummond checklist for economic evaluations.</w:t>
      </w:r>
    </w:p>
    <w:bookmarkEnd w:id="45"/>
    <w:bookmarkStart w:id="46" w:name="appendix-c-model-validation"/>
    <w:p>
      <w:pPr>
        <w:pStyle w:val="Heading3"/>
      </w:pPr>
      <w:r>
        <w:t xml:space="preserve">Appendix C: Model Validation</w:t>
      </w:r>
    </w:p>
    <w:p>
      <w:pPr>
        <w:pStyle w:val="FirstParagraph"/>
      </w:pPr>
      <w:r>
        <w:t xml:space="preserve">The economic models were validated through:</w:t>
      </w:r>
      <w:r>
        <w:t xml:space="preserve"> </w:t>
      </w:r>
      <w:r>
        <w:t xml:space="preserve">- Internal consistency checks</w:t>
      </w:r>
      <w:r>
        <w:t xml:space="preserve"> </w:t>
      </w:r>
      <w:r>
        <w:t xml:space="preserve">- Comparison with published models</w:t>
      </w:r>
      <w:r>
        <w:t xml:space="preserve"> </w:t>
      </w:r>
      <w:r>
        <w:t xml:space="preserve">- Extreme value testing</w:t>
      </w:r>
      <w:r>
        <w:t xml:space="preserve"> </w:t>
      </w:r>
      <w:r>
        <w:t xml:space="preserve">- Face validity assessment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None declared</w:t>
      </w:r>
      <w:r>
        <w:t xml:space="preserve"> </w:t>
      </w:r>
      <w:r>
        <w:rPr>
          <w:b/>
          <w:bCs/>
        </w:rPr>
        <w:t xml:space="preserve">Conflict of Interest:</w:t>
      </w:r>
      <w:r>
        <w:t xml:space="preserve"> </w:t>
      </w:r>
      <w:r>
        <w:t xml:space="preserve">None declared</w:t>
      </w:r>
      <w:r>
        <w:t xml:space="preserve"> </w:t>
      </w:r>
      <w:r>
        <w:rPr>
          <w:b/>
          <w:bCs/>
        </w:rPr>
        <w:t xml:space="preserve">Data Availability:</w:t>
      </w:r>
      <w:r>
        <w:t xml:space="preserve"> </w:t>
      </w:r>
      <w:r>
        <w:t xml:space="preserve">All data generated during this study are included in this published article</w:t>
      </w:r>
      <w:r>
        <w:t xml:space="preserve"> </w:t>
      </w:r>
      <w:r>
        <w:rPr>
          <w:b/>
          <w:bCs/>
        </w:rPr>
        <w:t xml:space="preserve">Corresponding Author:</w:t>
      </w:r>
      <w:r>
        <w:t xml:space="preserve"> </w:t>
      </w:r>
      <w:r>
        <w:t xml:space="preserve">Dr Siddalingaiah H S, Professor, Community Medicine, Shridevi Institute of Medical Sciences and Research Hospital, Tumkur, hssling@yahoo.com, 8941087719</w:t>
      </w:r>
      <w:r>
        <w:t xml:space="preserve"> </w:t>
      </w:r>
      <w:r>
        <w:rPr>
          <w:b/>
          <w:bCs/>
        </w:rPr>
        <w:t xml:space="preserve">Date of Submission:</w:t>
      </w:r>
      <w:r>
        <w:t xml:space="preserve"> </w:t>
      </w:r>
      <w:r>
        <w:t xml:space="preserve">November 02,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manuscript was automatically generated using the HTA Automation System</w:t>
      </w:r>
      <w:r>
        <w:t xml:space="preserve"> </w:t>
      </w:r>
      <w:r>
        <w:rPr>
          <w:i/>
          <w:iCs/>
        </w:rPr>
        <w:t xml:space="preserve">All data sourced from real PubMed literature (no synthetic data used)</w:t>
      </w:r>
      <w:r>
        <w:t xml:space="preserve"> </w:t>
      </w:r>
      <w:r>
        <w:rPr>
          <w:i/>
          <w:iCs/>
        </w:rPr>
        <w:t xml:space="preserve">Manuscript format: IMRaD structure with complete references and analysis tables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2025-11-02T06:19:36Z</dcterms:created>
  <dcterms:modified xsi:type="dcterms:W3CDTF">2025-11-02T06:19:36Z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