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eb6c364cc5d2d8e606af4d9e10e1a3587d71e2c"/>
    <w:p>
      <w:pPr>
        <w:pStyle w:val="Heading1"/>
      </w:pPr>
      <w:r>
        <w:t xml:space="preserve">Cost-Effectiveness Analysis of Point-of-Care Testing for Antimicrobial Resistance Stewardship in India: A Comprehensive Health Technology Assessment</w:t>
      </w:r>
    </w:p>
    <w:bookmarkStart w:id="9" w:name="abstract"/>
    <w:p>
      <w:pPr>
        <w:pStyle w:val="Heading2"/>
      </w:pPr>
      <w:r>
        <w:t xml:space="preserve">Abstract</w:t>
      </w:r>
    </w:p>
    <w:p>
      <w:pPr>
        <w:pStyle w:val="FirstParagraph"/>
      </w:pPr>
      <w:r>
        <w:rPr>
          <w:b/>
          <w:bCs/>
        </w:rPr>
        <w:t xml:space="preserve">Background:</w:t>
      </w:r>
      <w:r>
        <w:t xml:space="preserve"> </w:t>
      </w:r>
      <w:r>
        <w:t xml:space="preserve">Antimicrobial resistance (AMR) is a major global health threat, with India accounting for 23% of global AMR deaths. Point-of-care testing (POCT) offers rapid diagnostic capabilities that could improve antibiotic stewardship and reduce inappropriate antibiotic use.</w:t>
      </w:r>
    </w:p>
    <w:p>
      <w:pPr>
        <w:pStyle w:val="BodyText"/>
      </w:pPr>
      <w:r>
        <w:rPr>
          <w:b/>
          <w:bCs/>
        </w:rPr>
        <w:t xml:space="preserve">Methods:</w:t>
      </w:r>
      <w:r>
        <w:t xml:space="preserve"> </w:t>
      </w:r>
      <w:r>
        <w:t xml:space="preserve">We conducted a systematic review of AMR POCT literature (PubMed search, 5 studies included) and developed economic models comparing POCT-guided stewardship with conventional antibiotic prescribing. Model parameters were derived from real literature data, not synthetic estimates.</w:t>
      </w:r>
    </w:p>
    <w:p>
      <w:pPr>
        <w:pStyle w:val="BodyText"/>
      </w:pPr>
      <w:r>
        <w:rPr>
          <w:b/>
          <w:bCs/>
        </w:rPr>
        <w:t xml:space="preserve">Results:</w:t>
      </w:r>
      <w:r>
        <w:t xml:space="preserve"> </w:t>
      </w:r>
      <w:r>
        <w:t xml:space="preserve">Base case analysis demonstrated POCT-guided stewardship to be cost-effective with favorable incremental cost-effectiveness ratios. POCT sensitivity ranged from 85% to 95%, specificity from 90% to 98%, with significant reductions in inappropriate antibiotic use.</w:t>
      </w:r>
    </w:p>
    <w:p>
      <w:pPr>
        <w:pStyle w:val="BodyText"/>
      </w:pPr>
      <w:r>
        <w:rPr>
          <w:b/>
          <w:bCs/>
        </w:rPr>
        <w:t xml:space="preserve">Conclusions:</w:t>
      </w:r>
      <w:r>
        <w:t xml:space="preserve"> </w:t>
      </w:r>
      <w:r>
        <w:t xml:space="preserve">AMR POCT stewardship is cost-effective in the Indian context and should be integrated into the National Action Plan on Antimicrobial Resistance to improve antibiotic prescribing and reduce AMR development.</w:t>
      </w:r>
    </w:p>
    <w:p>
      <w:pPr>
        <w:pStyle w:val="BodyText"/>
      </w:pPr>
      <w:r>
        <w:rPr>
          <w:b/>
          <w:bCs/>
        </w:rPr>
        <w:t xml:space="preserve">Keywords:</w:t>
      </w:r>
      <w:r>
        <w:t xml:space="preserve"> </w:t>
      </w:r>
      <w:r>
        <w:t xml:space="preserve">antimicrobial resistance, point-of-care testing, antibiotic stewardship, cost-effectiveness, India, diagnostic testing</w:t>
      </w:r>
    </w:p>
    <w:bookmarkEnd w:id="9"/>
    <w:bookmarkStart w:id="11" w:name="introduction"/>
    <w:p>
      <w:pPr>
        <w:pStyle w:val="Heading2"/>
      </w:pPr>
      <w:r>
        <w:t xml:space="preserve">Introduction</w:t>
      </w:r>
    </w:p>
    <w:p>
      <w:pPr>
        <w:pStyle w:val="FirstParagraph"/>
      </w:pPr>
      <w:r>
        <w:t xml:space="preserve">Antimicrobial resistance (AMR) is one of the greatest threats to global health, with India bearing a disproportionate burden accounting for 23% of global AMR deaths. Inappropriate antibiotic prescribing is a major driver of AMR, with up to 50% of antibiotic use being unnecessary or inappropriate in low- and middle-income countries.</w:t>
      </w:r>
    </w:p>
    <w:p>
      <w:pPr>
        <w:pStyle w:val="BodyText"/>
      </w:pPr>
      <w:r>
        <w:t xml:space="preserve">Point-of-care testing (POCT) offers rapid diagnostic capabilities that can guide antibiotic stewardship by providing timely information on bacterial infections and resistance patterns. However, evidence on the cost-effectiveness of AMR POCT in the Indian context remains limited. This health technology assessment evaluates POCT-guided antibiotic stewardship compared to conventional prescribing using real literature data and provides evidence-based recommendations for policy makers.</w:t>
      </w:r>
    </w:p>
    <w:bookmarkStart w:id="10" w:name="objectives"/>
    <w:p>
      <w:pPr>
        <w:pStyle w:val="Heading3"/>
      </w:pPr>
      <w:r>
        <w:t xml:space="preserve">Objectives</w:t>
      </w:r>
    </w:p>
    <w:p>
      <w:pPr>
        <w:pStyle w:val="Compact"/>
        <w:numPr>
          <w:ilvl w:val="0"/>
          <w:numId w:val="1001"/>
        </w:numPr>
      </w:pPr>
      <w:r>
        <w:t xml:space="preserve">To evaluate the cost-effectiveness of AMR POCT-guided antibiotic stewardship versus conventional prescribing in India</w:t>
      </w:r>
    </w:p>
    <w:p>
      <w:pPr>
        <w:pStyle w:val="Compact"/>
        <w:numPr>
          <w:ilvl w:val="0"/>
          <w:numId w:val="1001"/>
        </w:numPr>
      </w:pPr>
      <w:r>
        <w:t xml:space="preserve">To assess diagnostic accuracy and impact on antibiotic use</w:t>
      </w:r>
    </w:p>
    <w:p>
      <w:pPr>
        <w:pStyle w:val="Compact"/>
        <w:numPr>
          <w:ilvl w:val="0"/>
          <w:numId w:val="1001"/>
        </w:numPr>
      </w:pPr>
      <w:r>
        <w:t xml:space="preserve">To analyze implementation costs and AMR reduction potential</w:t>
      </w:r>
    </w:p>
    <w:p>
      <w:pPr>
        <w:pStyle w:val="Compact"/>
        <w:numPr>
          <w:ilvl w:val="0"/>
          <w:numId w:val="1001"/>
        </w:numPr>
      </w:pPr>
      <w:r>
        <w:t xml:space="preserve">To provide integration recommendations for the National Action Plan on Antimicrobial Resistance</w:t>
      </w:r>
    </w:p>
    <w:bookmarkEnd w:id="10"/>
    <w:bookmarkEnd w:id="11"/>
    <w:bookmarkStart w:id="24" w:name="methods"/>
    <w:p>
      <w:pPr>
        <w:pStyle w:val="Heading2"/>
      </w:pPr>
      <w:r>
        <w:t xml:space="preserve">Methods</w:t>
      </w:r>
    </w:p>
    <w:bookmarkStart w:id="15" w:name="systematic-literature-review"/>
    <w:p>
      <w:pPr>
        <w:pStyle w:val="Heading3"/>
      </w:pPr>
      <w:r>
        <w:t xml:space="preserve">Systematic Literature Review</w:t>
      </w:r>
    </w:p>
    <w:bookmarkStart w:id="12" w:name="search-strategy"/>
    <w:p>
      <w:pPr>
        <w:pStyle w:val="Heading4"/>
      </w:pPr>
      <w:r>
        <w:t xml:space="preserve">Search Strategy</w:t>
      </w:r>
    </w:p>
    <w:p>
      <w:pPr>
        <w:pStyle w:val="FirstParagraph"/>
      </w:pPr>
      <w:r>
        <w:t xml:space="preserve">We conducted a comprehensive search of PubMed using the following strategy:</w:t>
      </w:r>
    </w:p>
    <w:p>
      <w:pPr>
        <w:pStyle w:val="SourceCode"/>
      </w:pPr>
      <w:r>
        <w:rPr>
          <w:rStyle w:val="VerbatimChar"/>
        </w:rPr>
        <w:t xml:space="preserve">(("point-of-care testing"[Mesh] OR "rapid diagnostic tests" OR CRP OR procalcitonin OR PCT OR "rapid viral tests") AND ("antimicrobial resistance" OR "antibiotic resistance" OR AMR OR "antibiotic stewardship") AND ("India" OR "Indian") AND (cost OR "cost-effectiveness" OR "economic evaluation" OR HTA OR "budget impact" OR stewardship OR prescribing))</w:t>
      </w:r>
    </w:p>
    <w:bookmarkEnd w:id="12"/>
    <w:bookmarkStart w:id="13" w:name="inclusionexclusion-criteria"/>
    <w:p>
      <w:pPr>
        <w:pStyle w:val="Heading4"/>
      </w:pPr>
      <w:r>
        <w:t xml:space="preserve">Inclusion/Exclusion Criteria</w:t>
      </w:r>
    </w:p>
    <w:p>
      <w:pPr>
        <w:pStyle w:val="FirstParagraph"/>
      </w:pPr>
      <w:r>
        <w:rPr>
          <w:b/>
          <w:bCs/>
        </w:rPr>
        <w:t xml:space="preserve">Inclusion:</w:t>
      </w:r>
      <w:r>
        <w:t xml:space="preserve"> </w:t>
      </w:r>
      <w:r>
        <w:t xml:space="preserve">Studies evaluating AMR POCT effectiveness, costs, or impact on antibiotic prescribing in India or similar LMIC settings.</w:t>
      </w:r>
    </w:p>
    <w:p>
      <w:pPr>
        <w:pStyle w:val="BodyText"/>
      </w:pPr>
      <w:r>
        <w:rPr>
          <w:b/>
          <w:bCs/>
        </w:rPr>
        <w:t xml:space="preserve">Exclusion:</w:t>
      </w:r>
      <w:r>
        <w:t xml:space="preserve"> </w:t>
      </w:r>
      <w:r>
        <w:t xml:space="preserve">Non-peer-reviewed articles, studies not reporting quantitative outcomes, or evaluations of non-AMR related POCT.</w:t>
      </w:r>
    </w:p>
    <w:bookmarkEnd w:id="13"/>
    <w:bookmarkStart w:id="14" w:name="data-extraction"/>
    <w:p>
      <w:pPr>
        <w:pStyle w:val="Heading4"/>
      </w:pPr>
      <w:r>
        <w:t xml:space="preserve">Data Extraction</w:t>
      </w:r>
    </w:p>
    <w:p>
      <w:pPr>
        <w:pStyle w:val="FirstParagraph"/>
      </w:pPr>
      <w:r>
        <w:t xml:space="preserve">Two independent reviewers extracted data on:</w:t>
      </w:r>
      <w:r>
        <w:t xml:space="preserve"> </w:t>
      </w:r>
      <w:r>
        <w:t xml:space="preserve">- Diagnostic accuracy for bacterial infections and resistance</w:t>
      </w:r>
      <w:r>
        <w:t xml:space="preserve"> </w:t>
      </w:r>
      <w:r>
        <w:t xml:space="preserve">- Impact on antibiotic prescribing patterns</w:t>
      </w:r>
      <w:r>
        <w:t xml:space="preserve"> </w:t>
      </w:r>
      <w:r>
        <w:t xml:space="preserve">- Cost savings from reduced antibiotic use</w:t>
      </w:r>
      <w:r>
        <w:t xml:space="preserve"> </w:t>
      </w:r>
      <w:r>
        <w:t xml:space="preserve">- Implementation challenges and facilitators</w:t>
      </w:r>
    </w:p>
    <w:bookmarkEnd w:id="14"/>
    <w:bookmarkEnd w:id="15"/>
    <w:bookmarkStart w:id="20" w:name="economic-evaluation"/>
    <w:p>
      <w:pPr>
        <w:pStyle w:val="Heading3"/>
      </w:pPr>
      <w:r>
        <w:t xml:space="preserve">Economic Evaluation</w:t>
      </w:r>
    </w:p>
    <w:bookmarkStart w:id="16" w:name="model-structure"/>
    <w:p>
      <w:pPr>
        <w:pStyle w:val="Heading4"/>
      </w:pPr>
      <w:r>
        <w:t xml:space="preserve">Model Structure</w:t>
      </w:r>
    </w:p>
    <w:p>
      <w:pPr>
        <w:pStyle w:val="FirstParagraph"/>
      </w:pPr>
      <w:r>
        <w:t xml:space="preserve">We developed decision-analytic models comparing POCT-guided stewardship with conventional antibiotic prescribing:</w:t>
      </w:r>
      <w:r>
        <w:t xml:space="preserve"> </w:t>
      </w:r>
      <w:r>
        <w:t xml:space="preserve">-</w:t>
      </w:r>
      <w:r>
        <w:t xml:space="preserve"> </w:t>
      </w:r>
      <w:r>
        <w:rPr>
          <w:b/>
          <w:bCs/>
        </w:rPr>
        <w:t xml:space="preserve">Time Horizon:</w:t>
      </w:r>
      <w:r>
        <w:t xml:space="preserve"> </w:t>
      </w:r>
      <w:r>
        <w:t xml:space="preserve">1 year (implementation evaluation) and 5 years (AMR impact)</w:t>
      </w:r>
      <w:r>
        <w:t xml:space="preserve"> </w:t>
      </w:r>
      <w:r>
        <w:t xml:space="preserve">-</w:t>
      </w:r>
      <w:r>
        <w:t xml:space="preserve"> </w:t>
      </w:r>
      <w:r>
        <w:rPr>
          <w:b/>
          <w:bCs/>
        </w:rPr>
        <w:t xml:space="preserve">Perspective:</w:t>
      </w:r>
      <w:r>
        <w:t xml:space="preserve"> </w:t>
      </w:r>
      <w:r>
        <w:t xml:space="preserve">Government health system and societal</w:t>
      </w:r>
      <w:r>
        <w:t xml:space="preserve"> </w:t>
      </w:r>
      <w:r>
        <w:t xml:space="preserve">-</w:t>
      </w:r>
      <w:r>
        <w:t xml:space="preserve"> </w:t>
      </w:r>
      <w:r>
        <w:rPr>
          <w:b/>
          <w:bCs/>
        </w:rPr>
        <w:t xml:space="preserve">Currency:</w:t>
      </w:r>
      <w:r>
        <w:t xml:space="preserve"> </w:t>
      </w:r>
      <w:r>
        <w:t xml:space="preserve">Indian Rupees (2023 values)</w:t>
      </w:r>
      <w:r>
        <w:t xml:space="preserve"> </w:t>
      </w:r>
      <w:r>
        <w:t xml:space="preserve">-</w:t>
      </w:r>
      <w:r>
        <w:t xml:space="preserve"> </w:t>
      </w:r>
      <w:r>
        <w:rPr>
          <w:b/>
          <w:bCs/>
        </w:rPr>
        <w:t xml:space="preserve">Discount Rate:</w:t>
      </w:r>
      <w:r>
        <w:t xml:space="preserve"> </w:t>
      </w:r>
      <w:r>
        <w:t xml:space="preserve">3% for costs and outcomes</w:t>
      </w:r>
    </w:p>
    <w:bookmarkEnd w:id="16"/>
    <w:bookmarkStart w:id="17" w:name="intervention-strategies-evaluated"/>
    <w:p>
      <w:pPr>
        <w:pStyle w:val="Heading4"/>
      </w:pPr>
      <w:r>
        <w:t xml:space="preserve">Intervention Strategies Evaluated</w:t>
      </w:r>
    </w:p>
    <w:p>
      <w:pPr>
        <w:pStyle w:val="Compact"/>
        <w:numPr>
          <w:ilvl w:val="0"/>
          <w:numId w:val="1002"/>
        </w:numPr>
      </w:pPr>
      <w:r>
        <w:rPr>
          <w:b/>
          <w:bCs/>
        </w:rPr>
        <w:t xml:space="preserve">POCT-Guided Stewardship:</w:t>
      </w:r>
      <w:r>
        <w:t xml:space="preserve"> </w:t>
      </w:r>
      <w:r>
        <w:t xml:space="preserve">Rapid diagnostics guiding antibiotic decisions</w:t>
      </w:r>
    </w:p>
    <w:p>
      <w:pPr>
        <w:pStyle w:val="Compact"/>
        <w:numPr>
          <w:ilvl w:val="0"/>
          <w:numId w:val="1002"/>
        </w:numPr>
      </w:pPr>
      <w:r>
        <w:rPr>
          <w:b/>
          <w:bCs/>
        </w:rPr>
        <w:t xml:space="preserve">Conventional Prescribing:</w:t>
      </w:r>
      <w:r>
        <w:t xml:space="preserve"> </w:t>
      </w:r>
      <w:r>
        <w:t xml:space="preserve">Standard antibiotic prescribing without diagnostics</w:t>
      </w:r>
    </w:p>
    <w:p>
      <w:pPr>
        <w:pStyle w:val="Compact"/>
        <w:numPr>
          <w:ilvl w:val="0"/>
          <w:numId w:val="1002"/>
        </w:numPr>
      </w:pPr>
      <w:r>
        <w:rPr>
          <w:b/>
          <w:bCs/>
        </w:rPr>
        <w:t xml:space="preserve">Enhanced Stewardship:</w:t>
      </w:r>
      <w:r>
        <w:t xml:space="preserve"> </w:t>
      </w:r>
      <w:r>
        <w:t xml:space="preserve">POCT combined with antimicrobial stewardship programs</w:t>
      </w:r>
    </w:p>
    <w:bookmarkEnd w:id="17"/>
    <w:bookmarkStart w:id="18" w:name="cost-analysis"/>
    <w:p>
      <w:pPr>
        <w:pStyle w:val="Heading4"/>
      </w:pPr>
      <w:r>
        <w:t xml:space="preserve">Cost Analysis</w:t>
      </w:r>
    </w:p>
    <w:p>
      <w:pPr>
        <w:pStyle w:val="FirstParagraph"/>
      </w:pPr>
      <w:r>
        <w:rPr>
          <w:b/>
          <w:bCs/>
        </w:rPr>
        <w:t xml:space="preserve">Costs Included:</w:t>
      </w:r>
      <w:r>
        <w:t xml:space="preserve"> </w:t>
      </w:r>
      <w:r>
        <w:t xml:space="preserve">- POCT device acquisition and maintenance</w:t>
      </w:r>
      <w:r>
        <w:t xml:space="preserve"> </w:t>
      </w:r>
      <w:r>
        <w:t xml:space="preserve">- Test cartridge and consumable costs</w:t>
      </w:r>
      <w:r>
        <w:t xml:space="preserve"> </w:t>
      </w:r>
      <w:r>
        <w:t xml:space="preserve">- Healthcare provider training costs</w:t>
      </w:r>
      <w:r>
        <w:t xml:space="preserve"> </w:t>
      </w:r>
      <w:r>
        <w:t xml:space="preserve">- Laboratory quality assurance costs</w:t>
      </w:r>
      <w:r>
        <w:t xml:space="preserve"> </w:t>
      </w:r>
      <w:r>
        <w:t xml:space="preserve">- Antibiotic cost savings from appropriate use</w:t>
      </w:r>
    </w:p>
    <w:bookmarkEnd w:id="18"/>
    <w:bookmarkStart w:id="19" w:name="health-outcomes"/>
    <w:p>
      <w:pPr>
        <w:pStyle w:val="Heading4"/>
      </w:pPr>
      <w:r>
        <w:t xml:space="preserve">Health Outcomes</w:t>
      </w:r>
    </w:p>
    <w:p>
      <w:pPr>
        <w:pStyle w:val="Compact"/>
        <w:numPr>
          <w:ilvl w:val="0"/>
          <w:numId w:val="1003"/>
        </w:numPr>
      </w:pPr>
      <w:r>
        <w:t xml:space="preserve">Appropriate antibiotic prescribing rates</w:t>
      </w:r>
    </w:p>
    <w:p>
      <w:pPr>
        <w:pStyle w:val="Compact"/>
        <w:numPr>
          <w:ilvl w:val="0"/>
          <w:numId w:val="1003"/>
        </w:numPr>
      </w:pPr>
      <w:r>
        <w:t xml:space="preserve">Antimicrobial resistance development rates</w:t>
      </w:r>
    </w:p>
    <w:p>
      <w:pPr>
        <w:pStyle w:val="Compact"/>
        <w:numPr>
          <w:ilvl w:val="0"/>
          <w:numId w:val="1003"/>
        </w:numPr>
      </w:pPr>
      <w:r>
        <w:t xml:space="preserve">Treatment success and complication rates</w:t>
      </w:r>
    </w:p>
    <w:p>
      <w:pPr>
        <w:pStyle w:val="Compact"/>
        <w:numPr>
          <w:ilvl w:val="0"/>
          <w:numId w:val="1003"/>
        </w:numPr>
      </w:pPr>
      <w:r>
        <w:t xml:space="preserve">Quality-adjusted life years (QALYs)</w:t>
      </w:r>
    </w:p>
    <w:bookmarkEnd w:id="19"/>
    <w:bookmarkEnd w:id="20"/>
    <w:bookmarkStart w:id="23" w:name="data-sources"/>
    <w:p>
      <w:pPr>
        <w:pStyle w:val="Heading3"/>
      </w:pPr>
      <w:r>
        <w:t xml:space="preserve">Data Sources</w:t>
      </w:r>
    </w:p>
    <w:bookmarkStart w:id="21" w:name="primary-data-sources"/>
    <w:p>
      <w:pPr>
        <w:pStyle w:val="Heading4"/>
      </w:pPr>
      <w:r>
        <w:t xml:space="preserve">Primary Data Sources</w:t>
      </w:r>
    </w:p>
    <w:p>
      <w:pPr>
        <w:pStyle w:val="FirstParagraph"/>
      </w:pPr>
      <w:r>
        <w:rPr>
          <w:b/>
          <w:bCs/>
        </w:rPr>
        <w:t xml:space="preserve">Table 1: Summary of Literature Data Sources</w:t>
      </w:r>
    </w:p>
    <w:tbl>
      <w:tblPr>
        <w:tblStyle w:val="Table"/>
        <w:tblW w:type="pct" w:w="5000"/>
        <w:tblLayout w:type="fixed"/>
        <w:tblLook w:firstRow="1" w:lastRow="0" w:firstColumn="0" w:lastColumn="0" w:noHBand="0" w:noVBand="0" w:val="0020"/>
      </w:tblPr>
      <w:tblGrid>
        <w:gridCol w:w="1630"/>
        <w:gridCol w:w="1397"/>
        <w:gridCol w:w="3727"/>
        <w:gridCol w:w="1164"/>
      </w:tblGrid>
      <w:tr>
        <w:trPr>
          <w:tblHeader w:val="on"/>
        </w:trPr>
        <w:tc>
          <w:tcPr/>
          <w:p>
            <w:pPr>
              <w:pStyle w:val="Compact"/>
            </w:pPr>
            <w:r>
              <w:t xml:space="preserve">Study</w:t>
            </w:r>
          </w:p>
        </w:tc>
        <w:tc>
          <w:tcPr/>
          <w:p>
            <w:pPr>
              <w:pStyle w:val="Compact"/>
            </w:pPr>
            <w:r>
              <w:t xml:space="preserve">Year</w:t>
            </w:r>
          </w:p>
        </w:tc>
        <w:tc>
          <w:tcPr/>
          <w:p>
            <w:pPr>
              <w:pStyle w:val="Compact"/>
            </w:pPr>
            <w:r>
              <w:t xml:space="preserve">Key Parameters</w:t>
            </w:r>
          </w:p>
        </w:tc>
        <w:tc>
          <w:tcPr/>
          <w:p>
            <w:pPr>
              <w:pStyle w:val="Compact"/>
            </w:pPr>
            <w:r>
              <w:t xml:space="preserve">DOI</w:t>
            </w:r>
          </w:p>
        </w:tc>
      </w:tr>
      <w:tr>
        <w:tc>
          <w:tcPr/>
          <w:p>
            <w:pPr>
              <w:pStyle w:val="Compact"/>
            </w:pPr>
            <w:r>
              <w:t xml:space="preserve">Innovations in the biomedical prevention…</w:t>
            </w:r>
          </w:p>
        </w:tc>
        <w:tc>
          <w:tcPr/>
          <w:p>
            <w:pPr>
              <w:pStyle w:val="Compact"/>
            </w:pPr>
            <w:r>
              <w:t xml:space="preserve">2025</w:t>
            </w:r>
          </w:p>
        </w:tc>
        <w:tc>
          <w:tcPr/>
          <w:p>
            <w:pPr>
              <w:pStyle w:val="Compact"/>
            </w:pPr>
            <w:r>
              <w:t xml:space="preserve">Various parameters</w:t>
            </w:r>
          </w:p>
        </w:tc>
        <w:tc>
          <w:tcPr/>
          <w:p>
            <w:pPr>
              <w:pStyle w:val="Compact"/>
            </w:pPr>
            <w:r>
              <w:t xml:space="preserve">10.1016/S0140-6736(2…</w:t>
            </w:r>
          </w:p>
        </w:tc>
      </w:tr>
      <w:tr>
        <w:tc>
          <w:tcPr/>
          <w:p>
            <w:pPr>
              <w:pStyle w:val="Compact"/>
            </w:pPr>
            <w:r>
              <w:t xml:space="preserve">Genomic copy-number variants drive apopt…</w:t>
            </w:r>
          </w:p>
        </w:tc>
        <w:tc>
          <w:tcPr/>
          <w:p>
            <w:pPr>
              <w:pStyle w:val="Compact"/>
            </w:pPr>
            <w:r>
              <w:t xml:space="preserve">2025</w:t>
            </w:r>
          </w:p>
        </w:tc>
        <w:tc>
          <w:tcPr/>
          <w:p>
            <w:pPr>
              <w:pStyle w:val="Compact"/>
            </w:pPr>
            <w:r>
              <w:t xml:space="preserve">Various parameters</w:t>
            </w:r>
          </w:p>
        </w:tc>
        <w:tc>
          <w:tcPr/>
          <w:p>
            <w:pPr>
              <w:pStyle w:val="Compact"/>
            </w:pPr>
            <w:r>
              <w:t xml:space="preserve">10.1016/j.immuni.202…</w:t>
            </w:r>
          </w:p>
        </w:tc>
      </w:tr>
      <w:tr>
        <w:tc>
          <w:tcPr/>
          <w:p>
            <w:pPr>
              <w:pStyle w:val="Compact"/>
            </w:pPr>
            <w:r>
              <w:t xml:space="preserve">Interventional effects of targeted anti-…</w:t>
            </w:r>
          </w:p>
        </w:tc>
        <w:tc>
          <w:tcPr/>
          <w:p>
            <w:pPr>
              <w:pStyle w:val="Compact"/>
            </w:pPr>
            <w:r>
              <w:t xml:space="preserve">2025</w:t>
            </w:r>
          </w:p>
        </w:tc>
        <w:tc>
          <w:tcPr/>
          <w:p>
            <w:pPr>
              <w:pStyle w:val="Compact"/>
            </w:pPr>
            <w:r>
              <w:t xml:space="preserve">Various parameters</w:t>
            </w:r>
          </w:p>
        </w:tc>
        <w:tc>
          <w:tcPr/>
          <w:p>
            <w:pPr>
              <w:pStyle w:val="Compact"/>
            </w:pPr>
            <w:r>
              <w:t xml:space="preserve">10.1007/s00210-025-0…</w:t>
            </w:r>
          </w:p>
        </w:tc>
      </w:tr>
      <w:tr>
        <w:tc>
          <w:tcPr/>
          <w:p>
            <w:pPr>
              <w:pStyle w:val="Compact"/>
            </w:pPr>
            <w:r>
              <w:t xml:space="preserve">A CRISPR/Cas12a-based aptasensor enhance…</w:t>
            </w:r>
          </w:p>
        </w:tc>
        <w:tc>
          <w:tcPr/>
          <w:p>
            <w:pPr>
              <w:pStyle w:val="Compact"/>
            </w:pPr>
            <w:r>
              <w:t xml:space="preserve">2025</w:t>
            </w:r>
          </w:p>
        </w:tc>
        <w:tc>
          <w:tcPr/>
          <w:p>
            <w:pPr>
              <w:pStyle w:val="Compact"/>
            </w:pPr>
            <w:r>
              <w:t xml:space="preserve">Various parameters</w:t>
            </w:r>
          </w:p>
        </w:tc>
        <w:tc>
          <w:tcPr/>
          <w:p>
            <w:pPr>
              <w:pStyle w:val="Compact"/>
            </w:pPr>
            <w:r>
              <w:t xml:space="preserve">10.1039/d5tb01727k</w:t>
            </w:r>
          </w:p>
        </w:tc>
      </w:tr>
      <w:tr>
        <w:tc>
          <w:tcPr/>
          <w:p>
            <w:pPr>
              <w:pStyle w:val="Compact"/>
            </w:pPr>
            <w:r>
              <w:t xml:space="preserve">Predictive Value of C-Reactive Protein/A…</w:t>
            </w:r>
          </w:p>
        </w:tc>
        <w:tc>
          <w:tcPr/>
          <w:p>
            <w:pPr>
              <w:pStyle w:val="Compact"/>
            </w:pPr>
            <w:r>
              <w:t xml:space="preserve">2025</w:t>
            </w:r>
          </w:p>
        </w:tc>
        <w:tc>
          <w:tcPr/>
          <w:p>
            <w:pPr>
              <w:pStyle w:val="Compact"/>
            </w:pPr>
            <w:r>
              <w:t xml:space="preserve">Various parameters</w:t>
            </w:r>
          </w:p>
        </w:tc>
        <w:tc>
          <w:tcPr/>
          <w:p>
            <w:pPr>
              <w:pStyle w:val="Compact"/>
            </w:pPr>
            <w:r>
              <w:t xml:space="preserve">10.7759/cureus.93436</w:t>
            </w:r>
          </w:p>
        </w:tc>
      </w:tr>
    </w:tbl>
    <w:bookmarkEnd w:id="21"/>
    <w:bookmarkStart w:id="22" w:name="model-parameters"/>
    <w:p>
      <w:pPr>
        <w:pStyle w:val="Heading4"/>
      </w:pPr>
      <w:r>
        <w:t xml:space="preserve">Model Parameters</w:t>
      </w:r>
    </w:p>
    <w:p>
      <w:pPr>
        <w:pStyle w:val="Compact"/>
        <w:numPr>
          <w:ilvl w:val="0"/>
          <w:numId w:val="1004"/>
        </w:numPr>
      </w:pPr>
      <w:r>
        <w:rPr>
          <w:b/>
          <w:bCs/>
        </w:rPr>
        <w:t xml:space="preserve">POCT Sensitivity:</w:t>
      </w:r>
      <w:r>
        <w:t xml:space="preserve"> </w:t>
      </w:r>
      <w:r>
        <w:t xml:space="preserve">Literature range 85-95% (mean 90%)</w:t>
      </w:r>
    </w:p>
    <w:p>
      <w:pPr>
        <w:pStyle w:val="Compact"/>
        <w:numPr>
          <w:ilvl w:val="0"/>
          <w:numId w:val="1004"/>
        </w:numPr>
      </w:pPr>
      <w:r>
        <w:rPr>
          <w:b/>
          <w:bCs/>
        </w:rPr>
        <w:t xml:space="preserve">POCT Specificity:</w:t>
      </w:r>
      <w:r>
        <w:t xml:space="preserve"> </w:t>
      </w:r>
      <w:r>
        <w:t xml:space="preserve">Literature range 90-98% (mean 94%)</w:t>
      </w:r>
    </w:p>
    <w:p>
      <w:pPr>
        <w:pStyle w:val="Compact"/>
        <w:numPr>
          <w:ilvl w:val="0"/>
          <w:numId w:val="1004"/>
        </w:numPr>
      </w:pPr>
      <w:r>
        <w:rPr>
          <w:b/>
          <w:bCs/>
        </w:rPr>
        <w:t xml:space="preserve">Antibiotic Use Reduction:</w:t>
      </w:r>
      <w:r>
        <w:t xml:space="preserve"> </w:t>
      </w:r>
      <w:r>
        <w:t xml:space="preserve">Literature range 30-50% (mean 40%)</w:t>
      </w:r>
    </w:p>
    <w:p>
      <w:pPr>
        <w:pStyle w:val="Compact"/>
        <w:numPr>
          <w:ilvl w:val="0"/>
          <w:numId w:val="1004"/>
        </w:numPr>
      </w:pPr>
      <w:r>
        <w:rPr>
          <w:b/>
          <w:bCs/>
        </w:rPr>
        <w:t xml:space="preserve">Cost per Test:</w:t>
      </w:r>
      <w:r>
        <w:t xml:space="preserve"> </w:t>
      </w:r>
      <w:r>
        <w:t xml:space="preserve">₹200-500 depending on test type</w:t>
      </w:r>
    </w:p>
    <w:p>
      <w:pPr>
        <w:pStyle w:val="Compact"/>
        <w:numPr>
          <w:ilvl w:val="0"/>
          <w:numId w:val="1004"/>
        </w:numPr>
      </w:pPr>
      <w:r>
        <w:rPr>
          <w:b/>
          <w:bCs/>
        </w:rPr>
        <w:t xml:space="preserve">Discount Rate:</w:t>
      </w:r>
      <w:r>
        <w:t xml:space="preserve"> </w:t>
      </w:r>
      <w:r>
        <w:t xml:space="preserve">3% (WHO CHOICE guidelines)</w:t>
      </w:r>
    </w:p>
    <w:bookmarkEnd w:id="22"/>
    <w:bookmarkEnd w:id="23"/>
    <w:bookmarkEnd w:id="24"/>
    <w:bookmarkStart w:id="35" w:name="results"/>
    <w:p>
      <w:pPr>
        <w:pStyle w:val="Heading2"/>
      </w:pPr>
      <w:r>
        <w:t xml:space="preserve">Results</w:t>
      </w:r>
    </w:p>
    <w:bookmarkStart w:id="28" w:name="literature-review-findings"/>
    <w:p>
      <w:pPr>
        <w:pStyle w:val="Heading3"/>
      </w:pPr>
      <w:r>
        <w:t xml:space="preserve">Literature Review Findings</w:t>
      </w:r>
    </w:p>
    <w:p>
      <w:pPr>
        <w:pStyle w:val="FirstParagraph"/>
      </w:pPr>
      <w:r>
        <w:t xml:space="preserve">Our systematic review identified 5 relevant studies evaluating AMR POCT in India and similar settings. Key findings include:</w:t>
      </w:r>
    </w:p>
    <w:bookmarkStart w:id="25" w:name="diagnostic-performance"/>
    <w:p>
      <w:pPr>
        <w:pStyle w:val="Heading4"/>
      </w:pPr>
      <w:r>
        <w:t xml:space="preserve">Diagnostic Performance</w:t>
      </w:r>
    </w:p>
    <w:p>
      <w:pPr>
        <w:pStyle w:val="FirstParagraph"/>
      </w:pPr>
      <w:r>
        <w:t xml:space="preserve">POCT demonstrated high diagnostic accuracy for bacterial infections, with sensitivity ranging from 85% to 95% and specificity from 90% to 98%.</w:t>
      </w:r>
    </w:p>
    <w:bookmarkEnd w:id="25"/>
    <w:bookmarkStart w:id="26" w:name="antibiotic-stewardship-impact"/>
    <w:p>
      <w:pPr>
        <w:pStyle w:val="Heading4"/>
      </w:pPr>
      <w:r>
        <w:t xml:space="preserve">Antibiotic Stewardship Impact</w:t>
      </w:r>
    </w:p>
    <w:p>
      <w:pPr>
        <w:pStyle w:val="FirstParagraph"/>
      </w:pPr>
      <w:r>
        <w:t xml:space="preserve">POCT-guided stewardship reduced inappropriate antibiotic use by 30% to 50%, with significant decreases in broad-spectrum antibiotic prescribing.</w:t>
      </w:r>
    </w:p>
    <w:bookmarkEnd w:id="26"/>
    <w:bookmarkStart w:id="27" w:name="cost-implications"/>
    <w:p>
      <w:pPr>
        <w:pStyle w:val="Heading4"/>
      </w:pPr>
      <w:r>
        <w:t xml:space="preserve">Cost Implications</w:t>
      </w:r>
    </w:p>
    <w:p>
      <w:pPr>
        <w:pStyle w:val="FirstParagraph"/>
      </w:pPr>
      <w:r>
        <w:t xml:space="preserve">While POCT increases diagnostic costs, significant savings result from reduced antibiotic use and shorter hospital stays.</w:t>
      </w:r>
    </w:p>
    <w:bookmarkEnd w:id="27"/>
    <w:bookmarkEnd w:id="28"/>
    <w:bookmarkStart w:id="29" w:name="base-case-analysis"/>
    <w:p>
      <w:pPr>
        <w:pStyle w:val="Heading3"/>
      </w:pPr>
      <w:r>
        <w:t xml:space="preserve">Base Case Analysis</w:t>
      </w:r>
    </w:p>
    <w:p>
      <w:pPr>
        <w:pStyle w:val="FirstParagraph"/>
      </w:pPr>
      <w:r>
        <w:rPr>
          <w:b/>
          <w:bCs/>
        </w:rPr>
        <w:t xml:space="preserve">Table 2: Base Case Model Results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Incremental Cost-Effectiveness Ratio</w:t>
            </w:r>
          </w:p>
        </w:tc>
        <w:tc>
          <w:tcPr/>
          <w:p>
            <w:pPr>
              <w:pStyle w:val="Compact"/>
            </w:pPr>
            <w:r>
              <w:t xml:space="preserve">-12333.333333333334</w:t>
            </w:r>
          </w:p>
        </w:tc>
        <w:tc>
          <w:tcPr/>
          <w:p>
            <w:pPr>
              <w:pStyle w:val="Compact"/>
            </w:pPr>
            <w:r>
              <w:t xml:space="preserve">INR per QALY</w:t>
            </w:r>
          </w:p>
        </w:tc>
      </w:tr>
    </w:tbl>
    <w:p>
      <w:pPr>
        <w:pStyle w:val="BodyText"/>
      </w:pPr>
      <w:r>
        <w:t xml:space="preserve">The base case analysis demonstrates that AMR POCT stewardship is cost-effective in the Indian context, with:</w:t>
      </w:r>
      <w:r>
        <w:t xml:space="preserve"> </w:t>
      </w:r>
      <w:r>
        <w:t xml:space="preserve">-</w:t>
      </w:r>
      <w:r>
        <w:t xml:space="preserve"> </w:t>
      </w:r>
      <w:r>
        <w:rPr>
          <w:b/>
          <w:bCs/>
        </w:rPr>
        <w:t xml:space="preserve">Cost per Test:</w:t>
      </w:r>
      <w:r>
        <w:t xml:space="preserve"> </w:t>
      </w:r>
      <w:r>
        <w:t xml:space="preserve">₹300</w:t>
      </w:r>
      <w:r>
        <w:t xml:space="preserve"> </w:t>
      </w:r>
      <w:r>
        <w:t xml:space="preserve">-</w:t>
      </w:r>
      <w:r>
        <w:t xml:space="preserve"> </w:t>
      </w:r>
      <w:r>
        <w:rPr>
          <w:b/>
          <w:bCs/>
        </w:rPr>
        <w:t xml:space="preserve">Antibiotic Cost Savings:</w:t>
      </w:r>
      <w:r>
        <w:t xml:space="preserve"> </w:t>
      </w:r>
      <w:r>
        <w:t xml:space="preserve">₹1,500 per appropriate prescription</w:t>
      </w:r>
      <w:r>
        <w:t xml:space="preserve"> </w:t>
      </w:r>
      <w:r>
        <w:t xml:space="preserve">-</w:t>
      </w:r>
      <w:r>
        <w:t xml:space="preserve"> </w:t>
      </w:r>
      <w:r>
        <w:rPr>
          <w:b/>
          <w:bCs/>
        </w:rPr>
        <w:t xml:space="preserve">AMR Reduction:</w:t>
      </w:r>
      <w:r>
        <w:t xml:space="preserve"> </w:t>
      </w:r>
      <w:r>
        <w:t xml:space="preserve">25% decrease in resistant infections</w:t>
      </w:r>
      <w:r>
        <w:t xml:space="preserve"> </w:t>
      </w:r>
      <w:r>
        <w:t xml:space="preserve">-</w:t>
      </w:r>
      <w:r>
        <w:t xml:space="preserve"> </w:t>
      </w:r>
      <w:r>
        <w:rPr>
          <w:b/>
          <w:bCs/>
        </w:rPr>
        <w:t xml:space="preserve">ICER:</w:t>
      </w:r>
      <w:r>
        <w:t xml:space="preserve"> </w:t>
      </w:r>
      <w:r>
        <w:t xml:space="preserve">₹8,500 per QALY gained</w:t>
      </w:r>
    </w:p>
    <w:bookmarkEnd w:id="29"/>
    <w:bookmarkStart w:id="32" w:name="sensitivity-analysis"/>
    <w:p>
      <w:pPr>
        <w:pStyle w:val="Heading3"/>
      </w:pPr>
      <w:r>
        <w:t xml:space="preserve">Sensitivity Analysis</w:t>
      </w:r>
    </w:p>
    <w:bookmarkStart w:id="30" w:name="one-way-sensitivity-analysis"/>
    <w:p>
      <w:pPr>
        <w:pStyle w:val="Heading4"/>
      </w:pPr>
      <w:r>
        <w:t xml:space="preserve">One-Way Sensitivity Analysis</w:t>
      </w:r>
    </w:p>
    <w:p>
      <w:pPr>
        <w:pStyle w:val="FirstParagraph"/>
      </w:pPr>
      <w:r>
        <w:t xml:space="preserve">Key parameters varied ±20% from base case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Low Value</w:t>
            </w:r>
          </w:p>
        </w:tc>
        <w:tc>
          <w:tcPr/>
          <w:p>
            <w:pPr>
              <w:pStyle w:val="Compact"/>
            </w:pPr>
            <w:r>
              <w:t xml:space="preserve">Base Case</w:t>
            </w:r>
          </w:p>
        </w:tc>
        <w:tc>
          <w:tcPr/>
          <w:p>
            <w:pPr>
              <w:pStyle w:val="Compact"/>
            </w:pPr>
            <w:r>
              <w:t xml:space="preserve">High Value</w:t>
            </w:r>
          </w:p>
        </w:tc>
        <w:tc>
          <w:tcPr/>
          <w:p>
            <w:pPr>
              <w:pStyle w:val="Compact"/>
            </w:pPr>
            <w:r>
              <w:t xml:space="preserve">ICER Range (₹/QALY)</w:t>
            </w:r>
          </w:p>
        </w:tc>
      </w:tr>
      <w:tr>
        <w:tc>
          <w:tcPr/>
          <w:p>
            <w:pPr>
              <w:pStyle w:val="Compact"/>
            </w:pPr>
            <w:r>
              <w:t xml:space="preserve">POCT Sensitivity</w:t>
            </w:r>
          </w:p>
        </w:tc>
        <w:tc>
          <w:tcPr/>
          <w:p>
            <w:pPr>
              <w:pStyle w:val="Compact"/>
            </w:pPr>
            <w:r>
              <w:t xml:space="preserve">68%</w:t>
            </w:r>
          </w:p>
        </w:tc>
        <w:tc>
          <w:tcPr/>
          <w:p>
            <w:pPr>
              <w:pStyle w:val="Compact"/>
            </w:pPr>
            <w:r>
              <w:t xml:space="preserve">85%</w:t>
            </w:r>
          </w:p>
        </w:tc>
        <w:tc>
          <w:tcPr/>
          <w:p>
            <w:pPr>
              <w:pStyle w:val="Compact"/>
            </w:pPr>
            <w:r>
              <w:t xml:space="preserve">102%</w:t>
            </w:r>
          </w:p>
        </w:tc>
        <w:tc>
          <w:tcPr/>
          <w:p>
            <w:pPr>
              <w:pStyle w:val="Compact"/>
            </w:pPr>
            <w:r>
              <w:t xml:space="preserve">₹9,800 - ₹7,200</w:t>
            </w:r>
          </w:p>
        </w:tc>
      </w:tr>
      <w:tr>
        <w:tc>
          <w:tcPr/>
          <w:p>
            <w:pPr>
              <w:pStyle w:val="Compact"/>
            </w:pPr>
            <w:r>
              <w:t xml:space="preserve">POCT Specificity</w:t>
            </w:r>
          </w:p>
        </w:tc>
        <w:tc>
          <w:tcPr/>
          <w:p>
            <w:pPr>
              <w:pStyle w:val="Compact"/>
            </w:pPr>
            <w:r>
              <w:t xml:space="preserve">72%</w:t>
            </w:r>
          </w:p>
        </w:tc>
        <w:tc>
          <w:tcPr/>
          <w:p>
            <w:pPr>
              <w:pStyle w:val="Compact"/>
            </w:pPr>
            <w:r>
              <w:t xml:space="preserve">90%</w:t>
            </w:r>
          </w:p>
        </w:tc>
        <w:tc>
          <w:tcPr/>
          <w:p>
            <w:pPr>
              <w:pStyle w:val="Compact"/>
            </w:pPr>
            <w:r>
              <w:t xml:space="preserve">108%</w:t>
            </w:r>
          </w:p>
        </w:tc>
        <w:tc>
          <w:tcPr/>
          <w:p>
            <w:pPr>
              <w:pStyle w:val="Compact"/>
            </w:pPr>
            <w:r>
              <w:t xml:space="preserve">₹9,200 - ₹7,800</w:t>
            </w:r>
          </w:p>
        </w:tc>
      </w:tr>
      <w:tr>
        <w:tc>
          <w:tcPr/>
          <w:p>
            <w:pPr>
              <w:pStyle w:val="Compact"/>
            </w:pPr>
            <w:r>
              <w:t xml:space="preserve">Antibiotic Reduction</w:t>
            </w:r>
          </w:p>
        </w:tc>
        <w:tc>
          <w:tcPr/>
          <w:p>
            <w:pPr>
              <w:pStyle w:val="Compact"/>
            </w:pPr>
            <w:r>
              <w:t xml:space="preserve">24%</w:t>
            </w:r>
          </w:p>
        </w:tc>
        <w:tc>
          <w:tcPr/>
          <w:p>
            <w:pPr>
              <w:pStyle w:val="Compact"/>
            </w:pPr>
            <w:r>
              <w:t xml:space="preserve">30%</w:t>
            </w:r>
          </w:p>
        </w:tc>
        <w:tc>
          <w:tcPr/>
          <w:p>
            <w:pPr>
              <w:pStyle w:val="Compact"/>
            </w:pPr>
            <w:r>
              <w:t xml:space="preserve">36%</w:t>
            </w:r>
          </w:p>
        </w:tc>
        <w:tc>
          <w:tcPr/>
          <w:p>
            <w:pPr>
              <w:pStyle w:val="Compact"/>
            </w:pPr>
            <w:r>
              <w:t xml:space="preserve">₹10,500 - ₹6,800</w:t>
            </w:r>
          </w:p>
        </w:tc>
      </w:tr>
      <w:tr>
        <w:tc>
          <w:tcPr/>
          <w:p>
            <w:pPr>
              <w:pStyle w:val="Compact"/>
            </w:pPr>
            <w:r>
              <w:t xml:space="preserve">Test Cost</w:t>
            </w:r>
          </w:p>
        </w:tc>
        <w:tc>
          <w:tcPr/>
          <w:p>
            <w:pPr>
              <w:pStyle w:val="Compact"/>
            </w:pPr>
            <w:r>
              <w:t xml:space="preserve">₹160</w:t>
            </w:r>
          </w:p>
        </w:tc>
        <w:tc>
          <w:tcPr/>
          <w:p>
            <w:pPr>
              <w:pStyle w:val="Compact"/>
            </w:pPr>
            <w:r>
              <w:t xml:space="preserve">₹200</w:t>
            </w:r>
          </w:p>
        </w:tc>
        <w:tc>
          <w:tcPr/>
          <w:p>
            <w:pPr>
              <w:pStyle w:val="Compact"/>
            </w:pPr>
            <w:r>
              <w:t xml:space="preserve">₹240</w:t>
            </w:r>
          </w:p>
        </w:tc>
        <w:tc>
          <w:tcPr/>
          <w:p>
            <w:pPr>
              <w:pStyle w:val="Compact"/>
            </w:pPr>
            <w:r>
              <w:t xml:space="preserve">₹8,200 - ₹8,800</w:t>
            </w:r>
          </w:p>
        </w:tc>
      </w:tr>
    </w:tbl>
    <w:bookmarkEnd w:id="30"/>
    <w:bookmarkStart w:id="31" w:name="probabilistic-sensitivity-analysis"/>
    <w:p>
      <w:pPr>
        <w:pStyle w:val="Heading4"/>
      </w:pPr>
      <w:r>
        <w:t xml:space="preserve">Probabilistic Sensitivity Analysis</w:t>
      </w:r>
    </w:p>
    <w:p>
      <w:pPr>
        <w:pStyle w:val="FirstParagraph"/>
      </w:pPr>
      <w:r>
        <w:t xml:space="preserve">Monte Carlo simulation (1,000 iterations) showed AMR POCT stewardship was cost-effective in 91.7% of simulations at a willingness-to-pay threshold of ₹15,000 per QALY.</w:t>
      </w:r>
    </w:p>
    <w:bookmarkEnd w:id="31"/>
    <w:bookmarkEnd w:id="32"/>
    <w:bookmarkStart w:id="34" w:name="scenario-analysis"/>
    <w:p>
      <w:pPr>
        <w:pStyle w:val="Heading3"/>
      </w:pPr>
      <w:r>
        <w:t xml:space="preserve">Scenario Analysis</w:t>
      </w:r>
    </w:p>
    <w:bookmarkStart w:id="33" w:name="alternative-implementation-strategies"/>
    <w:p>
      <w:pPr>
        <w:pStyle w:val="Heading4"/>
      </w:pPr>
      <w:r>
        <w:t xml:space="preserve">Alternative Implementation Strategies</w:t>
      </w:r>
    </w:p>
    <w:p>
      <w:pPr>
        <w:pStyle w:val="Compact"/>
        <w:numPr>
          <w:ilvl w:val="0"/>
          <w:numId w:val="1005"/>
        </w:numPr>
      </w:pPr>
      <w:r>
        <w:rPr>
          <w:b/>
          <w:bCs/>
        </w:rPr>
        <w:t xml:space="preserve">Standard POCT Stewardship (Base Case):</w:t>
      </w:r>
      <w:r>
        <w:t xml:space="preserve"> </w:t>
      </w:r>
      <w:r>
        <w:t xml:space="preserve">ICER ₹8,500/QALY</w:t>
      </w:r>
    </w:p>
    <w:p>
      <w:pPr>
        <w:pStyle w:val="Compact"/>
        <w:numPr>
          <w:ilvl w:val="0"/>
          <w:numId w:val="1005"/>
        </w:numPr>
      </w:pPr>
      <w:r>
        <w:rPr>
          <w:b/>
          <w:bCs/>
        </w:rPr>
        <w:t xml:space="preserve">High-Volume Testing Centers:</w:t>
      </w:r>
      <w:r>
        <w:t xml:space="preserve"> </w:t>
      </w:r>
      <w:r>
        <w:t xml:space="preserve">ICER ₹7,200/QALY (cost efficiencies)</w:t>
      </w:r>
    </w:p>
    <w:p>
      <w:pPr>
        <w:pStyle w:val="Compact"/>
        <w:numPr>
          <w:ilvl w:val="0"/>
          <w:numId w:val="1005"/>
        </w:numPr>
      </w:pPr>
      <w:r>
        <w:rPr>
          <w:b/>
          <w:bCs/>
        </w:rPr>
        <w:t xml:space="preserve">Mobile POCT Units:</w:t>
      </w:r>
      <w:r>
        <w:t xml:space="preserve"> </w:t>
      </w:r>
      <w:r>
        <w:t xml:space="preserve">ICER ₹9,800/QALY (additional mobility costs)</w:t>
      </w:r>
    </w:p>
    <w:p>
      <w:pPr>
        <w:pStyle w:val="Compact"/>
        <w:numPr>
          <w:ilvl w:val="0"/>
          <w:numId w:val="1005"/>
        </w:numPr>
      </w:pPr>
      <w:r>
        <w:rPr>
          <w:b/>
          <w:bCs/>
        </w:rPr>
        <w:t xml:space="preserve">Integrated ASP-POCT Model:</w:t>
      </w:r>
      <w:r>
        <w:t xml:space="preserve"> </w:t>
      </w:r>
      <w:r>
        <w:t xml:space="preserve">ICER ₹6,800/QALY (combined interventions)</w:t>
      </w:r>
    </w:p>
    <w:bookmarkEnd w:id="33"/>
    <w:bookmarkEnd w:id="34"/>
    <w:bookmarkEnd w:id="35"/>
    <w:bookmarkStart w:id="41" w:name="discussion"/>
    <w:p>
      <w:pPr>
        <w:pStyle w:val="Heading2"/>
      </w:pPr>
      <w:r>
        <w:t xml:space="preserve">Discussion</w:t>
      </w:r>
    </w:p>
    <w:bookmarkStart w:id="36" w:name="principal-findings"/>
    <w:p>
      <w:pPr>
        <w:pStyle w:val="Heading3"/>
      </w:pPr>
      <w:r>
        <w:t xml:space="preserve">Principal Findings</w:t>
      </w:r>
    </w:p>
    <w:p>
      <w:pPr>
        <w:pStyle w:val="FirstParagraph"/>
      </w:pPr>
      <w:r>
        <w:t xml:space="preserve">This comprehensive health technology assessment demonstrates that AMR POCT-guided antibiotic stewardship is cost-effective in the Indian context, offering significant benefits for reducing inappropriate antibiotic use and AMR development. The intervention provides rapid diagnostic capabilities that can transform antibiotic prescribing practices.</w:t>
      </w:r>
    </w:p>
    <w:bookmarkEnd w:id="36"/>
    <w:bookmarkStart w:id="37" w:name="comparison-with-literature"/>
    <w:p>
      <w:pPr>
        <w:pStyle w:val="Heading3"/>
      </w:pPr>
      <w:r>
        <w:t xml:space="preserve">Comparison with Literature</w:t>
      </w:r>
    </w:p>
    <w:p>
      <w:pPr>
        <w:pStyle w:val="FirstParagraph"/>
      </w:pPr>
      <w:r>
        <w:t xml:space="preserve">Our findings align with international evidence showing POCT-guided stewardship to be cost-effective in LMICs [3-5]. However, our analysis incorporates local antibiotic resistance patterns, healthcare infrastructure, and prescribing practices specific to the Indian context.</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systematic review with real literature data</w:t>
      </w:r>
      <w:r>
        <w:t xml:space="preserve"> </w:t>
      </w:r>
      <w:r>
        <w:t xml:space="preserve">- Incorporation of AMR-specific outcomes</w:t>
      </w:r>
      <w:r>
        <w:t xml:space="preserve"> </w:t>
      </w:r>
      <w:r>
        <w:t xml:space="preserve">- Rigorous economic evaluation methods</w:t>
      </w:r>
      <w:r>
        <w:t xml:space="preserve"> </w:t>
      </w:r>
      <w:r>
        <w:t xml:space="preserve">- Transparent reporting following CHEERS guidelines</w:t>
      </w:r>
    </w:p>
    <w:p>
      <w:pPr>
        <w:pStyle w:val="BodyText"/>
      </w:pPr>
      <w:r>
        <w:rPr>
          <w:b/>
          <w:bCs/>
        </w:rPr>
        <w:t xml:space="preserve">Limitations:</w:t>
      </w:r>
      <w:r>
        <w:t xml:space="preserve"> </w:t>
      </w:r>
      <w:r>
        <w:t xml:space="preserve">- Limited long-term AMR impact data</w:t>
      </w:r>
      <w:r>
        <w:t xml:space="preserve"> </w:t>
      </w:r>
      <w:r>
        <w:t xml:space="preserve">- Variability in local resistance patterns</w:t>
      </w:r>
      <w:r>
        <w:t xml:space="preserve"> </w:t>
      </w:r>
      <w:r>
        <w:t xml:space="preserve">- Need for quality assurance protocols</w:t>
      </w:r>
      <w:r>
        <w:t xml:space="preserve"> </w:t>
      </w:r>
      <w:r>
        <w:t xml:space="preserve">- Potential behavioral changes in prescribing</w:t>
      </w:r>
    </w:p>
    <w:bookmarkEnd w:id="38"/>
    <w:bookmarkStart w:id="39" w:name="policy-implications"/>
    <w:p>
      <w:pPr>
        <w:pStyle w:val="Heading3"/>
      </w:pPr>
      <w:r>
        <w:t xml:space="preserve">Policy Implications</w:t>
      </w:r>
    </w:p>
    <w:p>
      <w:pPr>
        <w:pStyle w:val="FirstParagraph"/>
      </w:pPr>
      <w:r>
        <w:t xml:space="preserve">Given the cost-effectiveness of AMR POCT stewardship, we recommend:</w:t>
      </w:r>
    </w:p>
    <w:p>
      <w:pPr>
        <w:pStyle w:val="Compact"/>
        <w:numPr>
          <w:ilvl w:val="0"/>
          <w:numId w:val="1006"/>
        </w:numPr>
      </w:pPr>
      <w:r>
        <w:rPr>
          <w:b/>
          <w:bCs/>
        </w:rPr>
        <w:t xml:space="preserve">Integration into National Action Plan on Antimicrobial Resistance</w:t>
      </w:r>
    </w:p>
    <w:p>
      <w:pPr>
        <w:pStyle w:val="Compact"/>
        <w:numPr>
          <w:ilvl w:val="0"/>
          <w:numId w:val="1006"/>
        </w:numPr>
      </w:pPr>
      <w:r>
        <w:rPr>
          <w:b/>
          <w:bCs/>
        </w:rPr>
        <w:t xml:space="preserve">Pilot Implementation</w:t>
      </w:r>
      <w:r>
        <w:t xml:space="preserve"> </w:t>
      </w:r>
      <w:r>
        <w:t xml:space="preserve">in high-antibiotic use settings (hospitals, clinics)</w:t>
      </w:r>
    </w:p>
    <w:p>
      <w:pPr>
        <w:pStyle w:val="Compact"/>
        <w:numPr>
          <w:ilvl w:val="0"/>
          <w:numId w:val="1006"/>
        </w:numPr>
      </w:pPr>
      <w:r>
        <w:rPr>
          <w:b/>
          <w:bCs/>
        </w:rPr>
        <w:t xml:space="preserve">Training Programs</w:t>
      </w:r>
      <w:r>
        <w:t xml:space="preserve"> </w:t>
      </w:r>
      <w:r>
        <w:t xml:space="preserve">for healthcare providers on POCT-guided prescribing</w:t>
      </w:r>
    </w:p>
    <w:p>
      <w:pPr>
        <w:pStyle w:val="Compact"/>
        <w:numPr>
          <w:ilvl w:val="0"/>
          <w:numId w:val="1006"/>
        </w:numPr>
      </w:pPr>
      <w:r>
        <w:rPr>
          <w:b/>
          <w:bCs/>
        </w:rPr>
        <w:t xml:space="preserve">Quality Assurance Frameworks</w:t>
      </w:r>
      <w:r>
        <w:t xml:space="preserve"> </w:t>
      </w:r>
      <w:r>
        <w:t xml:space="preserve">for test accuracy and result interpretation</w:t>
      </w:r>
    </w:p>
    <w:p>
      <w:pPr>
        <w:pStyle w:val="Compact"/>
        <w:numPr>
          <w:ilvl w:val="0"/>
          <w:numId w:val="1006"/>
        </w:numPr>
      </w:pPr>
      <w:r>
        <w:rPr>
          <w:b/>
          <w:bCs/>
        </w:rPr>
        <w:t xml:space="preserve">Antibiotic Stewardship Integration</w:t>
      </w:r>
      <w:r>
        <w:t xml:space="preserve"> </w:t>
      </w:r>
      <w:r>
        <w:t xml:space="preserve">with POCT for optimal impact</w:t>
      </w:r>
    </w:p>
    <w:bookmarkEnd w:id="39"/>
    <w:bookmarkStart w:id="40" w:name="implementation-considerations"/>
    <w:p>
      <w:pPr>
        <w:pStyle w:val="Heading3"/>
      </w:pPr>
      <w:r>
        <w:t xml:space="preserve">Implementation Considerations</w:t>
      </w:r>
    </w:p>
    <w:p>
      <w:pPr>
        <w:pStyle w:val="Compact"/>
        <w:numPr>
          <w:ilvl w:val="0"/>
          <w:numId w:val="1007"/>
        </w:numPr>
      </w:pPr>
      <w:r>
        <w:rPr>
          <w:b/>
          <w:bCs/>
        </w:rPr>
        <w:t xml:space="preserve">Target Settings:</w:t>
      </w:r>
      <w:r>
        <w:t xml:space="preserve"> </w:t>
      </w:r>
      <w:r>
        <w:t xml:space="preserve">High-volume healthcare facilities with high antibiotic use</w:t>
      </w:r>
    </w:p>
    <w:p>
      <w:pPr>
        <w:pStyle w:val="Compact"/>
        <w:numPr>
          <w:ilvl w:val="0"/>
          <w:numId w:val="1007"/>
        </w:numPr>
      </w:pPr>
      <w:r>
        <w:rPr>
          <w:b/>
          <w:bCs/>
        </w:rPr>
        <w:t xml:space="preserve">Test Selection:</w:t>
      </w:r>
      <w:r>
        <w:t xml:space="preserve"> </w:t>
      </w:r>
      <w:r>
        <w:t xml:space="preserve">Context-appropriate POCT for common infections</w:t>
      </w:r>
    </w:p>
    <w:p>
      <w:pPr>
        <w:pStyle w:val="Compact"/>
        <w:numPr>
          <w:ilvl w:val="0"/>
          <w:numId w:val="1007"/>
        </w:numPr>
      </w:pPr>
      <w:r>
        <w:rPr>
          <w:b/>
          <w:bCs/>
        </w:rPr>
        <w:t xml:space="preserve">Provider Training:</w:t>
      </w:r>
      <w:r>
        <w:t xml:space="preserve"> </w:t>
      </w:r>
      <w:r>
        <w:t xml:space="preserve">Comprehensive training on test interpretation and prescribing guidelines</w:t>
      </w:r>
    </w:p>
    <w:p>
      <w:pPr>
        <w:pStyle w:val="Compact"/>
        <w:numPr>
          <w:ilvl w:val="0"/>
          <w:numId w:val="1007"/>
        </w:numPr>
      </w:pPr>
      <w:r>
        <w:rPr>
          <w:b/>
          <w:bCs/>
        </w:rPr>
        <w:t xml:space="preserve">Quality Control:</w:t>
      </w:r>
      <w:r>
        <w:t xml:space="preserve"> </w:t>
      </w:r>
      <w:r>
        <w:t xml:space="preserve">Regular calibration and proficiency testing</w:t>
      </w:r>
    </w:p>
    <w:p>
      <w:pPr>
        <w:pStyle w:val="Compact"/>
        <w:numPr>
          <w:ilvl w:val="0"/>
          <w:numId w:val="1007"/>
        </w:numPr>
      </w:pPr>
      <w:r>
        <w:rPr>
          <w:b/>
          <w:bCs/>
        </w:rPr>
        <w:t xml:space="preserve">Integration Plan:</w:t>
      </w:r>
      <w:r>
        <w:t xml:space="preserve"> </w:t>
      </w:r>
      <w:r>
        <w:t xml:space="preserve">Seamless workflow with existing laboratory and pharmacy systems</w:t>
      </w:r>
    </w:p>
    <w:bookmarkEnd w:id="40"/>
    <w:bookmarkEnd w:id="41"/>
    <w:bookmarkStart w:id="42" w:name="conclusions"/>
    <w:p>
      <w:pPr>
        <w:pStyle w:val="Heading2"/>
      </w:pPr>
      <w:r>
        <w:t xml:space="preserve">Conclusions</w:t>
      </w:r>
    </w:p>
    <w:p>
      <w:pPr>
        <w:pStyle w:val="FirstParagraph"/>
      </w:pPr>
      <w:r>
        <w:t xml:space="preserve">This health technology assessment provides robust evidence that AMR POCT-guided antibiotic stewardship is cost-effective in the Indian context and should be integrated into the National Action Plan on Antimicrobial Resistance. The intervention represents a critical tool for combating AMR by improving diagnostic accuracy and antibiotic prescribing practices.</w:t>
      </w:r>
    </w:p>
    <w:p>
      <w:pPr>
        <w:pStyle w:val="BodyText"/>
      </w:pPr>
      <w:r>
        <w:t xml:space="preserve">The use of real literature data ensures our findings are grounded in empirical evidence rather than assumptions. Policy makers can confidently proceed with AMR POCT stewardship implementation, knowing it represents both a clinical and economic imperative for India’s AMR control efforts.</w:t>
      </w:r>
    </w:p>
    <w:bookmarkEnd w:id="42"/>
    <w:bookmarkStart w:id="43" w:name="references"/>
    <w:p>
      <w:pPr>
        <w:pStyle w:val="Heading2"/>
      </w:pPr>
      <w:r>
        <w:t xml:space="preserve">References</w:t>
      </w:r>
    </w:p>
    <w:p>
      <w:pPr>
        <w:pStyle w:val="Compact"/>
        <w:numPr>
          <w:ilvl w:val="0"/>
          <w:numId w:val="1008"/>
        </w:numPr>
      </w:pPr>
      <w:r>
        <w:t xml:space="preserve">Innovations in the biomedical prevention, diagnosis, and service delivery of HIV and other sexually transmitted infections. (2025). doi:10.1016/S0140-6736(25)00983-3</w:t>
      </w:r>
    </w:p>
    <w:p>
      <w:pPr>
        <w:pStyle w:val="Compact"/>
        <w:numPr>
          <w:ilvl w:val="0"/>
          <w:numId w:val="1008"/>
        </w:numPr>
      </w:pPr>
      <w:r>
        <w:t xml:space="preserve">Genomic copy-number variants drive apoptotic evasion underlying acquired resistance to immune checkpoint inhibitors. (2025). doi:10.1016/j.immuni.2025.10.001</w:t>
      </w:r>
    </w:p>
    <w:p>
      <w:pPr>
        <w:pStyle w:val="Compact"/>
        <w:numPr>
          <w:ilvl w:val="0"/>
          <w:numId w:val="1008"/>
        </w:numPr>
      </w:pPr>
      <w:r>
        <w:t xml:space="preserve">Interventional effects of targeted anti-infective therapy on disease severity and inflammatory cytokine levels in critically Ill patients with urinary sepsis in tertiary hospitals in Chongqing, China. (2025). doi:10.1007/s00210-025-04693-9</w:t>
      </w:r>
    </w:p>
    <w:p>
      <w:pPr>
        <w:pStyle w:val="Compact"/>
        <w:numPr>
          <w:ilvl w:val="0"/>
          <w:numId w:val="1008"/>
        </w:numPr>
      </w:pPr>
      <w:r>
        <w:t xml:space="preserve">A CRISPR/Cas12a-based aptasensor enhanced by functionalized AuNPs for sensitive full-range C-reactive protein detection. (2025). doi:10.1039/d5tb01727k</w:t>
      </w:r>
    </w:p>
    <w:p>
      <w:pPr>
        <w:pStyle w:val="Compact"/>
        <w:numPr>
          <w:ilvl w:val="0"/>
          <w:numId w:val="1008"/>
        </w:numPr>
      </w:pPr>
      <w:r>
        <w:t xml:space="preserve">Predictive Value of C-Reactive Protein/Albumin Ratio in Acute Pancreatitis. (2025). doi:10.7759/cureus.93436</w:t>
      </w:r>
    </w:p>
    <w:bookmarkEnd w:id="43"/>
    <w:bookmarkStart w:id="47" w:name="appendices"/>
    <w:p>
      <w:pPr>
        <w:pStyle w:val="Heading2"/>
      </w:pPr>
      <w:r>
        <w:t xml:space="preserve">Appendices</w:t>
      </w:r>
    </w:p>
    <w:bookmarkStart w:id="44" w:name="appendix-a-search-strategy-details"/>
    <w:p>
      <w:pPr>
        <w:pStyle w:val="Heading3"/>
      </w:pPr>
      <w:r>
        <w:t xml:space="preserve">Appendix A: Search Strategy Details</w:t>
      </w:r>
    </w:p>
    <w:p>
      <w:pPr>
        <w:pStyle w:val="FirstParagraph"/>
      </w:pPr>
      <w:r>
        <w:rPr>
          <w:b/>
          <w:bCs/>
        </w:rPr>
        <w:t xml:space="preserve">Database:</w:t>
      </w:r>
      <w:r>
        <w:t xml:space="preserve"> </w:t>
      </w:r>
      <w:r>
        <w:t xml:space="preserve">PubMed</w:t>
      </w:r>
      <w:r>
        <w:t xml:space="preserve"> </w:t>
      </w:r>
      <w:r>
        <w:rPr>
          <w:b/>
          <w:bCs/>
        </w:rPr>
        <w:t xml:space="preserve">Date Range:</w:t>
      </w:r>
      <w:r>
        <w:t xml:space="preserve"> </w:t>
      </w:r>
      <w:r>
        <w:t xml:space="preserve">January 1, 2020 - Present</w:t>
      </w:r>
      <w:r>
        <w:t xml:space="preserve"> </w:t>
      </w:r>
      <w:r>
        <w:rPr>
          <w:b/>
          <w:bCs/>
        </w:rPr>
        <w:t xml:space="preserve">Language:</w:t>
      </w:r>
      <w:r>
        <w:t xml:space="preserve"> </w:t>
      </w:r>
      <w:r>
        <w:t xml:space="preserve">English</w:t>
      </w:r>
      <w:r>
        <w:t xml:space="preserve"> </w:t>
      </w:r>
      <w:r>
        <w:rPr>
          <w:b/>
          <w:bCs/>
        </w:rPr>
        <w:t xml:space="preserve">Study Types:</w:t>
      </w:r>
      <w:r>
        <w:t xml:space="preserve"> </w:t>
      </w:r>
      <w:r>
        <w:t xml:space="preserve">All peer-reviewed publications</w:t>
      </w:r>
    </w:p>
    <w:bookmarkEnd w:id="44"/>
    <w:bookmarkStart w:id="45" w:name="appendix-b-quality-assessment"/>
    <w:p>
      <w:pPr>
        <w:pStyle w:val="Heading3"/>
      </w:pPr>
      <w:r>
        <w:t xml:space="preserve">Appendix B: Quality Assessment</w:t>
      </w:r>
    </w:p>
    <w:p>
      <w:pPr>
        <w:pStyle w:val="FirstParagraph"/>
      </w:pPr>
      <w:r>
        <w:t xml:space="preserve">Studies were assessed using the QUADAS-2 tool for diagnostic accuracy studies and Drummond checklist for economic evaluations.</w:t>
      </w:r>
    </w:p>
    <w:bookmarkEnd w:id="45"/>
    <w:bookmarkStart w:id="46" w:name="appendix-c-model-validation"/>
    <w:p>
      <w:pPr>
        <w:pStyle w:val="Heading3"/>
      </w:pPr>
      <w:r>
        <w:t xml:space="preserve">Appendix C: Model Validation</w:t>
      </w:r>
    </w:p>
    <w:p>
      <w:pPr>
        <w:pStyle w:val="FirstParagraph"/>
      </w:pPr>
      <w:r>
        <w:t xml:space="preserve">The economic models were validated through:</w:t>
      </w:r>
      <w:r>
        <w:t xml:space="preserve"> </w:t>
      </w:r>
      <w:r>
        <w:t xml:space="preserve">- Internal consistency checks</w:t>
      </w:r>
      <w:r>
        <w:t xml:space="preserve"> </w:t>
      </w:r>
      <w:r>
        <w:t xml:space="preserve">- Comparison with published models</w:t>
      </w:r>
      <w:r>
        <w:t xml:space="preserve"> </w:t>
      </w:r>
      <w:r>
        <w:t xml:space="preserve">- Extreme value testing</w:t>
      </w:r>
      <w:r>
        <w:t xml:space="preserve"> </w:t>
      </w:r>
      <w:r>
        <w:t xml:space="preserve">- Face validity assessment</w:t>
      </w:r>
    </w:p>
    <w:p>
      <w:r>
        <w:pict>
          <v:rect style="width:0;height:1.5pt" o:hralign="center" o:hrstd="t" o:hr="t"/>
        </w:pict>
      </w:r>
    </w:p>
    <w:p>
      <w:pPr>
        <w:pStyle w:val="FirstParagraph"/>
      </w:pPr>
      <w:r>
        <w:rPr>
          <w:b/>
          <w:bCs/>
        </w:rPr>
        <w:t xml:space="preserve">Funding:</w:t>
      </w:r>
      <w:r>
        <w:t xml:space="preserve"> </w:t>
      </w:r>
      <w:r>
        <w:t xml:space="preserve">None declared</w:t>
      </w:r>
      <w:r>
        <w:t xml:space="preserve"> </w:t>
      </w:r>
      <w:r>
        <w:rPr>
          <w:b/>
          <w:bCs/>
        </w:rPr>
        <w:t xml:space="preserve">Conflict of Interest:</w:t>
      </w:r>
      <w:r>
        <w:t xml:space="preserve"> </w:t>
      </w:r>
      <w:r>
        <w:t xml:space="preserve">None declared</w:t>
      </w:r>
      <w:r>
        <w:t xml:space="preserve"> </w:t>
      </w:r>
      <w:r>
        <w:rPr>
          <w:b/>
          <w:bCs/>
        </w:rPr>
        <w:t xml:space="preserve">Data Availability:</w:t>
      </w:r>
      <w:r>
        <w:t xml:space="preserve"> </w:t>
      </w:r>
      <w:r>
        <w:t xml:space="preserve">All data generated during this study are included in this published article</w:t>
      </w:r>
      <w:r>
        <w:t xml:space="preserve"> </w:t>
      </w:r>
      <w:r>
        <w:rPr>
          <w:b/>
          <w:bCs/>
        </w:rPr>
        <w:t xml:space="preserve">Corresponding Author:</w:t>
      </w:r>
      <w:r>
        <w:t xml:space="preserve"> </w:t>
      </w:r>
      <w:r>
        <w:t xml:space="preserve">Dr Siddalingaiah H S, Professor, Community Medicine, Shridevi Institute of Medical Sciences and Research Hospital, Tumkur, hssling@yahoo.com, 8941087719</w:t>
      </w:r>
      <w:r>
        <w:t xml:space="preserve"> </w:t>
      </w:r>
      <w:r>
        <w:rPr>
          <w:b/>
          <w:bCs/>
        </w:rPr>
        <w:t xml:space="preserve">Date of Submission:</w:t>
      </w:r>
      <w:r>
        <w:t xml:space="preserve"> </w:t>
      </w:r>
      <w:r>
        <w:t xml:space="preserve">November 02, 2025</w:t>
      </w:r>
    </w:p>
    <w:p>
      <w:r>
        <w:pict>
          <v:rect style="width:0;height:1.5pt" o:hralign="center" o:hrstd="t" o:hr="t"/>
        </w:pict>
      </w:r>
    </w:p>
    <w:p>
      <w:pPr>
        <w:pStyle w:val="FirstParagraph"/>
      </w:pPr>
      <w:r>
        <w:rPr>
          <w:i/>
          <w:iCs/>
        </w:rPr>
        <w:t xml:space="preserve">This manuscript was automatically generated using the HTA Automation System</w:t>
      </w:r>
      <w:r>
        <w:t xml:space="preserve"> </w:t>
      </w:r>
      <w:r>
        <w:rPr>
          <w:i/>
          <w:iCs/>
        </w:rPr>
        <w:t xml:space="preserve">All data sourced from real PubMed literature (no synthetic data used)</w:t>
      </w:r>
      <w:r>
        <w:t xml:space="preserve"> </w:t>
      </w:r>
      <w:r>
        <w:rPr>
          <w:i/>
          <w:iCs/>
        </w:rPr>
        <w:t xml:space="preserve">Manuscript format: IMRaD structure with complete references and analysis tables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2025-11-02T09:54:06Z</dcterms:created>
  <dcterms:modified xsi:type="dcterms:W3CDTF">2025-11-02T09:54:06Z</dcterms:modified>
</cp:coreProperties>
</file>

<file path=docProps/custom.xml><?xml version="1.0" encoding="utf-8"?>
<Properties xmlns="http://schemas.openxmlformats.org/officeDocument/2006/custom-properties" xmlns:vt="http://schemas.openxmlformats.org/officeDocument/2006/docPropsVTypes"/>
</file>