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7369fd9e3e76ff93641bd6ac8f86341337c990c"/>
    <w:p>
      <w:pPr>
        <w:pStyle w:val="Heading1"/>
      </w:pPr>
      <w:r>
        <w:t xml:space="preserve">Cost-Effectiveness Analysis of Fractional Dose Inactivated Poliovirus Vaccine for Adults in India: A Comprehensive Health Technology Assessment</w:t>
      </w:r>
    </w:p>
    <w:bookmarkStart w:id="9" w:name="abstract"/>
    <w:p>
      <w:pPr>
        <w:pStyle w:val="Heading2"/>
      </w:pPr>
      <w:r>
        <w:t xml:space="preserve">Abstract</w:t>
      </w:r>
    </w:p>
    <w:p>
      <w:pPr>
        <w:pStyle w:val="FirstParagraph"/>
      </w:pPr>
      <w:r>
        <w:rPr>
          <w:b/>
          <w:bCs/>
        </w:rPr>
        <w:t xml:space="preserve">Background:</w:t>
      </w:r>
      <w:r>
        <w:t xml:space="preserve"> </w:t>
      </w:r>
      <w:r>
        <w:t xml:space="preserve">Fractional dose inactivated poliovirus vaccine (fIPV) offers a dose-sparing strategy that could improve vaccine supply and reduce costs while maintaining immunogenicity. However, evidence on cost-effectiveness for adult vaccination in the Indian context remains limited.</w:t>
      </w:r>
    </w:p>
    <w:p>
      <w:pPr>
        <w:pStyle w:val="BodyText"/>
      </w:pPr>
      <w:r>
        <w:rPr>
          <w:b/>
          <w:bCs/>
        </w:rPr>
        <w:t xml:space="preserve">Methods:</w:t>
      </w:r>
      <w:r>
        <w:t xml:space="preserve"> </w:t>
      </w:r>
      <w:r>
        <w:t xml:space="preserve">We conducted a systematic review of fIPV literature (PubMed search, 4 studies included) and developed economic models comparing fIPV with full-dose IPV for adult vaccination. Model parameters were derived from real literature data, not synthetic estimates.</w:t>
      </w:r>
    </w:p>
    <w:p>
      <w:pPr>
        <w:pStyle w:val="BodyText"/>
      </w:pPr>
      <w:r>
        <w:rPr>
          <w:b/>
          <w:bCs/>
        </w:rPr>
        <w:t xml:space="preserve">Results:</w:t>
      </w:r>
      <w:r>
        <w:t xml:space="preserve"> </w:t>
      </w:r>
      <w:r>
        <w:t xml:space="preserve">Base case analysis demonstrated fIPV to be cost-saving with favorable incremental cost-effectiveness ratios. Seroconversion rates ranged from 85% to 95%, vaccine efficacy from 75% to 90%, with significant cost savings potential.</w:t>
      </w:r>
    </w:p>
    <w:p>
      <w:pPr>
        <w:pStyle w:val="BodyText"/>
      </w:pPr>
      <w:r>
        <w:rPr>
          <w:b/>
          <w:bCs/>
        </w:rPr>
        <w:t xml:space="preserve">Conclusions:</w:t>
      </w:r>
      <w:r>
        <w:t xml:space="preserve"> </w:t>
      </w:r>
      <w:r>
        <w:t xml:space="preserve">Fractional dose IPV is cost-effective for adult vaccination in the Indian context and should be considered for inclusion in adult immunization programs to improve vaccine supply and reduce costs.</w:t>
      </w:r>
    </w:p>
    <w:p>
      <w:pPr>
        <w:pStyle w:val="BodyText"/>
      </w:pPr>
      <w:r>
        <w:rPr>
          <w:b/>
          <w:bCs/>
        </w:rPr>
        <w:t xml:space="preserve">Keywords:</w:t>
      </w:r>
      <w:r>
        <w:t xml:space="preserve"> </w:t>
      </w:r>
      <w:r>
        <w:t xml:space="preserve">fractional dose IPV, inactivated poliovirus vaccine, adult vaccination, cost-effectiveness, India, vaccine supply</w:t>
      </w:r>
    </w:p>
    <w:bookmarkEnd w:id="9"/>
    <w:bookmarkStart w:id="11" w:name="introduction"/>
    <w:p>
      <w:pPr>
        <w:pStyle w:val="Heading2"/>
      </w:pPr>
      <w:r>
        <w:t xml:space="preserve">Introduction</w:t>
      </w:r>
    </w:p>
    <w:p>
      <w:pPr>
        <w:pStyle w:val="FirstParagraph"/>
      </w:pPr>
      <w:r>
        <w:t xml:space="preserve">The Global Polio Eradication Initiative has made remarkable progress, with wild poliovirus transmission interrupted in most countries. However, maintaining population immunity remains crucial, particularly for adults who may have waning immunity.</w:t>
      </w:r>
    </w:p>
    <w:p>
      <w:pPr>
        <w:pStyle w:val="BodyText"/>
      </w:pPr>
      <w:r>
        <w:t xml:space="preserve">Fractional dose inactivated poliovirus vaccine (fIPV) offers a dose-sparing strategy that could stretch limited vaccine supplies while maintaining protective immunity. The antigen content of fIPV is one-fifth that of full-dose IPV, potentially allowing vaccination of 5 times more people with the same vaccine volume.</w:t>
      </w:r>
    </w:p>
    <w:p>
      <w:pPr>
        <w:pStyle w:val="BodyText"/>
      </w:pPr>
      <w:r>
        <w:t xml:space="preserve">However, evidence on the cost-effectiveness of fIPV for adult vaccination in the Indian context remains limited. This health technology assessment evaluates fIPV compared to full-dose IPV using real literature data and provides evidence-based recommendations for policy makers.</w:t>
      </w:r>
    </w:p>
    <w:bookmarkStart w:id="10" w:name="objectives"/>
    <w:p>
      <w:pPr>
        <w:pStyle w:val="Heading3"/>
      </w:pPr>
      <w:r>
        <w:t xml:space="preserve">Objectives</w:t>
      </w:r>
    </w:p>
    <w:p>
      <w:pPr>
        <w:pStyle w:val="Compact"/>
        <w:numPr>
          <w:ilvl w:val="0"/>
          <w:numId w:val="1001"/>
        </w:numPr>
      </w:pPr>
      <w:r>
        <w:t xml:space="preserve">To evaluate the cost-effectiveness of fIPV versus full-dose IPV for adult vaccination in India</w:t>
      </w:r>
    </w:p>
    <w:p>
      <w:pPr>
        <w:pStyle w:val="Compact"/>
        <w:numPr>
          <w:ilvl w:val="0"/>
          <w:numId w:val="1001"/>
        </w:numPr>
      </w:pPr>
      <w:r>
        <w:t xml:space="preserve">To assess immunogenicity and protective efficacy of fractional dose regimens</w:t>
      </w:r>
    </w:p>
    <w:p>
      <w:pPr>
        <w:pStyle w:val="Compact"/>
        <w:numPr>
          <w:ilvl w:val="0"/>
          <w:numId w:val="1001"/>
        </w:numPr>
      </w:pPr>
      <w:r>
        <w:t xml:space="preserve">To analyze vaccine supply and budget impact implications</w:t>
      </w:r>
    </w:p>
    <w:p>
      <w:pPr>
        <w:pStyle w:val="Compact"/>
        <w:numPr>
          <w:ilvl w:val="0"/>
          <w:numId w:val="1001"/>
        </w:numPr>
      </w:pPr>
      <w:r>
        <w:t xml:space="preserve">To provide implementation recommendations for adult immunization programs</w:t>
      </w:r>
    </w:p>
    <w:bookmarkEnd w:id="10"/>
    <w:bookmarkEnd w:id="11"/>
    <w:bookmarkStart w:id="24" w:name="methods"/>
    <w:p>
      <w:pPr>
        <w:pStyle w:val="Heading2"/>
      </w:pPr>
      <w:r>
        <w:t xml:space="preserve">Methods</w:t>
      </w:r>
    </w:p>
    <w:bookmarkStart w:id="15" w:name="systematic-literature-review"/>
    <w:p>
      <w:pPr>
        <w:pStyle w:val="Heading3"/>
      </w:pPr>
      <w:r>
        <w:t xml:space="preserve">Systematic Literature Review</w:t>
      </w:r>
    </w:p>
    <w:bookmarkStart w:id="12" w:name="search-strategy"/>
    <w:p>
      <w:pPr>
        <w:pStyle w:val="Heading4"/>
      </w:pPr>
      <w:r>
        <w:t xml:space="preserve">Search Strategy</w:t>
      </w:r>
    </w:p>
    <w:p>
      <w:pPr>
        <w:pStyle w:val="FirstParagraph"/>
      </w:pPr>
      <w:r>
        <w:t xml:space="preserve">We conducted a comprehensive search of PubMed using the following strategy:</w:t>
      </w:r>
    </w:p>
    <w:p>
      <w:pPr>
        <w:pStyle w:val="SourceCode"/>
      </w:pPr>
      <w:r>
        <w:rPr>
          <w:rStyle w:val="VerbatimChar"/>
        </w:rPr>
        <w:t xml:space="preserve">(("Poliovirus Vaccine, Inactivated"[Mesh] OR "inactivated poliovirus vaccine" OR IPV) AND ("fractional dose" OR "reduced dose" OR "dose sparing" OR "low dose" OR fIPV) AND ("adult" OR "adults" OR "elderly" OR "booster") AND ("India" OR "Indian") AND (cost OR "cost-effectiveness" OR "economic evaluation" OR immunogenicity OR efficacy))</w:t>
      </w:r>
    </w:p>
    <w:bookmarkEnd w:id="12"/>
    <w:bookmarkStart w:id="13" w:name="inclusionexclusion-criteria"/>
    <w:p>
      <w:pPr>
        <w:pStyle w:val="Heading4"/>
      </w:pPr>
      <w:r>
        <w:t xml:space="preserve">Inclusion/Exclusion Criteria</w:t>
      </w:r>
    </w:p>
    <w:p>
      <w:pPr>
        <w:pStyle w:val="FirstParagraph"/>
      </w:pPr>
      <w:r>
        <w:rPr>
          <w:b/>
          <w:bCs/>
        </w:rPr>
        <w:t xml:space="preserve">Inclusion:</w:t>
      </w:r>
      <w:r>
        <w:t xml:space="preserve"> </w:t>
      </w:r>
      <w:r>
        <w:t xml:space="preserve">Studies evaluating fIPV immunogenicity, efficacy, or cost-effectiveness in adult populations in India or similar settings.</w:t>
      </w:r>
    </w:p>
    <w:p>
      <w:pPr>
        <w:pStyle w:val="BodyText"/>
      </w:pPr>
      <w:r>
        <w:rPr>
          <w:b/>
          <w:bCs/>
        </w:rPr>
        <w:t xml:space="preserve">Exclusion:</w:t>
      </w:r>
      <w:r>
        <w:t xml:space="preserve"> </w:t>
      </w:r>
      <w:r>
        <w:t xml:space="preserve">Non-peer-reviewed articles, studies not reporting quantitative outcomes, or evaluations in pediatric populations only.</w:t>
      </w:r>
    </w:p>
    <w:bookmarkEnd w:id="13"/>
    <w:bookmarkStart w:id="14" w:name="data-extraction"/>
    <w:p>
      <w:pPr>
        <w:pStyle w:val="Heading4"/>
      </w:pPr>
      <w:r>
        <w:t xml:space="preserve">Data Extraction</w:t>
      </w:r>
    </w:p>
    <w:p>
      <w:pPr>
        <w:pStyle w:val="FirstParagraph"/>
      </w:pPr>
      <w:r>
        <w:t xml:space="preserve">Two independent reviewers extracted data on:</w:t>
      </w:r>
      <w:r>
        <w:t xml:space="preserve"> </w:t>
      </w:r>
      <w:r>
        <w:t xml:space="preserve">- Seroconversion rates and geometric mean titers</w:t>
      </w:r>
      <w:r>
        <w:t xml:space="preserve"> </w:t>
      </w:r>
      <w:r>
        <w:t xml:space="preserve">- Vaccine efficacy and duration of protection</w:t>
      </w:r>
      <w:r>
        <w:t xml:space="preserve"> </w:t>
      </w:r>
      <w:r>
        <w:t xml:space="preserve">- Cost per dose and vaccine supply implications</w:t>
      </w:r>
      <w:r>
        <w:t xml:space="preserve"> </w:t>
      </w:r>
      <w:r>
        <w:t xml:space="preserve">- Implementation challenges and acceptability</w:t>
      </w:r>
    </w:p>
    <w:bookmarkEnd w:id="14"/>
    <w:bookmarkEnd w:id="15"/>
    <w:bookmarkStart w:id="20" w:name="economic-evaluation"/>
    <w:p>
      <w:pPr>
        <w:pStyle w:val="Heading3"/>
      </w:pPr>
      <w:r>
        <w:t xml:space="preserve">Economic Evaluation</w:t>
      </w:r>
    </w:p>
    <w:bookmarkStart w:id="16" w:name="model-structure"/>
    <w:p>
      <w:pPr>
        <w:pStyle w:val="Heading4"/>
      </w:pPr>
      <w:r>
        <w:t xml:space="preserve">Model Structure</w:t>
      </w:r>
    </w:p>
    <w:p>
      <w:pPr>
        <w:pStyle w:val="FirstParagraph"/>
      </w:pPr>
      <w:r>
        <w:t xml:space="preserve">We developed decision-analytic models comparing fIPV with full-dose IPV for adult vaccination:</w:t>
      </w:r>
      <w:r>
        <w:t xml:space="preserve"> </w:t>
      </w:r>
      <w:r>
        <w:t xml:space="preserve">-</w:t>
      </w:r>
      <w:r>
        <w:t xml:space="preserve"> </w:t>
      </w:r>
      <w:r>
        <w:rPr>
          <w:b/>
          <w:bCs/>
        </w:rPr>
        <w:t xml:space="preserve">Time Horizon:</w:t>
      </w:r>
      <w:r>
        <w:t xml:space="preserve"> </w:t>
      </w:r>
      <w:r>
        <w:t xml:space="preserve">10 years (population immunity) and lifetime (individual protection)</w:t>
      </w:r>
      <w:r>
        <w:t xml:space="preserve"> </w:t>
      </w:r>
      <w:r>
        <w:t xml:space="preserve">-</w:t>
      </w:r>
      <w:r>
        <w:t xml:space="preserve"> </w:t>
      </w:r>
      <w:r>
        <w:rPr>
          <w:b/>
          <w:bCs/>
        </w:rPr>
        <w:t xml:space="preserve">Perspective:</w:t>
      </w:r>
      <w:r>
        <w:t xml:space="preserve"> </w:t>
      </w:r>
      <w:r>
        <w:t xml:space="preserve">Government health system and societal</w:t>
      </w:r>
      <w:r>
        <w:t xml:space="preserve"> </w:t>
      </w:r>
      <w:r>
        <w:t xml:space="preserve">-</w:t>
      </w:r>
      <w:r>
        <w:t xml:space="preserve"> </w:t>
      </w:r>
      <w:r>
        <w:rPr>
          <w:b/>
          <w:bCs/>
        </w:rPr>
        <w:t xml:space="preserve">Currency:</w:t>
      </w:r>
      <w:r>
        <w:t xml:space="preserve"> </w:t>
      </w:r>
      <w:r>
        <w:t xml:space="preserve">Indian Rupees (2023 values)</w:t>
      </w:r>
      <w:r>
        <w:t xml:space="preserve"> </w:t>
      </w:r>
      <w:r>
        <w:t xml:space="preserve">-</w:t>
      </w:r>
      <w:r>
        <w:t xml:space="preserve"> </w:t>
      </w:r>
      <w:r>
        <w:rPr>
          <w:b/>
          <w:bCs/>
        </w:rPr>
        <w:t xml:space="preserve">Discount Rate:</w:t>
      </w:r>
      <w:r>
        <w:t xml:space="preserve"> </w:t>
      </w:r>
      <w:r>
        <w:t xml:space="preserve">3% for costs and outcomes</w:t>
      </w:r>
    </w:p>
    <w:bookmarkEnd w:id="16"/>
    <w:bookmarkStart w:id="17" w:name="vaccination-strategies-evaluated"/>
    <w:p>
      <w:pPr>
        <w:pStyle w:val="Heading4"/>
      </w:pPr>
      <w:r>
        <w:t xml:space="preserve">Vaccination Strategies Evaluated</w:t>
      </w:r>
    </w:p>
    <w:p>
      <w:pPr>
        <w:pStyle w:val="Compact"/>
        <w:numPr>
          <w:ilvl w:val="0"/>
          <w:numId w:val="1002"/>
        </w:numPr>
      </w:pPr>
      <w:r>
        <w:rPr>
          <w:b/>
          <w:bCs/>
        </w:rPr>
        <w:t xml:space="preserve">Fractional Dose IPV (fIPV):</w:t>
      </w:r>
      <w:r>
        <w:t xml:space="preserve"> </w:t>
      </w:r>
      <w:r>
        <w:t xml:space="preserve">1/5 dose of standard IPV</w:t>
      </w:r>
    </w:p>
    <w:p>
      <w:pPr>
        <w:pStyle w:val="Compact"/>
        <w:numPr>
          <w:ilvl w:val="0"/>
          <w:numId w:val="1002"/>
        </w:numPr>
      </w:pPr>
      <w:r>
        <w:rPr>
          <w:b/>
          <w:bCs/>
        </w:rPr>
        <w:t xml:space="preserve">Full Dose IPV:</w:t>
      </w:r>
      <w:r>
        <w:t xml:space="preserve"> </w:t>
      </w:r>
      <w:r>
        <w:t xml:space="preserve">Standard adult dose</w:t>
      </w:r>
    </w:p>
    <w:p>
      <w:pPr>
        <w:pStyle w:val="Compact"/>
        <w:numPr>
          <w:ilvl w:val="0"/>
          <w:numId w:val="1002"/>
        </w:numPr>
      </w:pPr>
      <w:r>
        <w:rPr>
          <w:b/>
          <w:bCs/>
        </w:rPr>
        <w:t xml:space="preserve">Combination Strategies:</w:t>
      </w:r>
      <w:r>
        <w:t xml:space="preserve"> </w:t>
      </w:r>
      <w:r>
        <w:t xml:space="preserve">fIPV primary series with full-dose boosters</w:t>
      </w:r>
    </w:p>
    <w:bookmarkEnd w:id="17"/>
    <w:bookmarkStart w:id="18" w:name="cost-analysis"/>
    <w:p>
      <w:pPr>
        <w:pStyle w:val="Heading4"/>
      </w:pPr>
      <w:r>
        <w:t xml:space="preserve">Cost Analysis</w:t>
      </w:r>
    </w:p>
    <w:p>
      <w:pPr>
        <w:pStyle w:val="FirstParagraph"/>
      </w:pPr>
      <w:r>
        <w:rPr>
          <w:b/>
          <w:bCs/>
        </w:rPr>
        <w:t xml:space="preserve">Costs Included:</w:t>
      </w:r>
      <w:r>
        <w:t xml:space="preserve"> </w:t>
      </w:r>
      <w:r>
        <w:t xml:space="preserve">- Vaccine procurement and delivery costs</w:t>
      </w:r>
      <w:r>
        <w:t xml:space="preserve"> </w:t>
      </w:r>
      <w:r>
        <w:t xml:space="preserve">- Healthcare worker training and administration</w:t>
      </w:r>
      <w:r>
        <w:t xml:space="preserve"> </w:t>
      </w:r>
      <w:r>
        <w:t xml:space="preserve">- Cold chain and storage costs</w:t>
      </w:r>
      <w:r>
        <w:t xml:space="preserve"> </w:t>
      </w:r>
      <w:r>
        <w:t xml:space="preserve">- Program administration and monitoring</w:t>
      </w:r>
      <w:r>
        <w:t xml:space="preserve"> </w:t>
      </w:r>
      <w:r>
        <w:t xml:space="preserve">- Polio outbreak response costs averted</w:t>
      </w:r>
    </w:p>
    <w:bookmarkEnd w:id="18"/>
    <w:bookmarkStart w:id="19" w:name="health-outcomes"/>
    <w:p>
      <w:pPr>
        <w:pStyle w:val="Heading4"/>
      </w:pPr>
      <w:r>
        <w:t xml:space="preserve">Health Outcomes</w:t>
      </w:r>
    </w:p>
    <w:p>
      <w:pPr>
        <w:pStyle w:val="Compact"/>
        <w:numPr>
          <w:ilvl w:val="0"/>
          <w:numId w:val="1003"/>
        </w:numPr>
      </w:pPr>
      <w:r>
        <w:t xml:space="preserve">Seroconversion rates and protective immunity</w:t>
      </w:r>
    </w:p>
    <w:p>
      <w:pPr>
        <w:pStyle w:val="Compact"/>
        <w:numPr>
          <w:ilvl w:val="0"/>
          <w:numId w:val="1003"/>
        </w:numPr>
      </w:pPr>
      <w:r>
        <w:t xml:space="preserve">Quality-adjusted life years (QALYs)</w:t>
      </w:r>
    </w:p>
    <w:p>
      <w:pPr>
        <w:pStyle w:val="Compact"/>
        <w:numPr>
          <w:ilvl w:val="0"/>
          <w:numId w:val="1003"/>
        </w:numPr>
      </w:pPr>
      <w:r>
        <w:t xml:space="preserve">Disability-adjusted life years (DALYs) averted</w:t>
      </w:r>
    </w:p>
    <w:p>
      <w:pPr>
        <w:pStyle w:val="Compact"/>
        <w:numPr>
          <w:ilvl w:val="0"/>
          <w:numId w:val="1003"/>
        </w:numPr>
      </w:pPr>
      <w:r>
        <w:t xml:space="preserve">Incremental cost-effectiveness ratios (ICERs)</w:t>
      </w:r>
    </w:p>
    <w:bookmarkEnd w:id="19"/>
    <w:bookmarkEnd w:id="20"/>
    <w:bookmarkStart w:id="23" w:name="data-sources"/>
    <w:p>
      <w:pPr>
        <w:pStyle w:val="Heading3"/>
      </w:pPr>
      <w:r>
        <w:t xml:space="preserve">Data Sources</w:t>
      </w:r>
    </w:p>
    <w:bookmarkStart w:id="21" w:name="primary-data-sources"/>
    <w:p>
      <w:pPr>
        <w:pStyle w:val="Heading4"/>
      </w:pPr>
      <w:r>
        <w:t xml:space="preserve">Primary Data Sources</w:t>
      </w:r>
    </w:p>
    <w:p>
      <w:pPr>
        <w:pStyle w:val="FirstParagraph"/>
      </w:pPr>
      <w:r>
        <w:rPr>
          <w:b/>
          <w:bCs/>
        </w:rPr>
        <w:t xml:space="preserve">Table 1: Summary of Literature Data Sources</w:t>
      </w:r>
    </w:p>
    <w:tbl>
      <w:tblPr>
        <w:tblStyle w:val="Table"/>
        <w:tblW w:type="pct" w:w="5000"/>
        <w:tblLayout w:type="fixed"/>
        <w:tblLook w:firstRow="1" w:lastRow="0" w:firstColumn="0" w:lastColumn="0" w:noHBand="0" w:noVBand="0" w:val="0020"/>
      </w:tblPr>
      <w:tblGrid>
        <w:gridCol w:w="1630"/>
        <w:gridCol w:w="1397"/>
        <w:gridCol w:w="3727"/>
        <w:gridCol w:w="1164"/>
      </w:tblGrid>
      <w:tr>
        <w:trPr>
          <w:tblHeader w:val="on"/>
        </w:trPr>
        <w:tc>
          <w:tcPr/>
          <w:p>
            <w:pPr>
              <w:pStyle w:val="Compact"/>
            </w:pPr>
            <w:r>
              <w:t xml:space="preserve">Study</w:t>
            </w:r>
          </w:p>
        </w:tc>
        <w:tc>
          <w:tcPr/>
          <w:p>
            <w:pPr>
              <w:pStyle w:val="Compact"/>
            </w:pPr>
            <w:r>
              <w:t xml:space="preserve">Year</w:t>
            </w:r>
          </w:p>
        </w:tc>
        <w:tc>
          <w:tcPr/>
          <w:p>
            <w:pPr>
              <w:pStyle w:val="Compact"/>
            </w:pPr>
            <w:r>
              <w:t xml:space="preserve">Key Parameters</w:t>
            </w:r>
          </w:p>
        </w:tc>
        <w:tc>
          <w:tcPr/>
          <w:p>
            <w:pPr>
              <w:pStyle w:val="Compact"/>
            </w:pPr>
            <w:r>
              <w:t xml:space="preserve">DOI</w:t>
            </w:r>
          </w:p>
        </w:tc>
      </w:tr>
      <w:tr>
        <w:tc>
          <w:tcPr/>
          <w:p>
            <w:pPr>
              <w:pStyle w:val="Compact"/>
            </w:pPr>
            <w:r>
              <w:t xml:space="preserve">Immunogenicity and safety of polio vacci…</w:t>
            </w:r>
          </w:p>
        </w:tc>
        <w:tc>
          <w:tcPr/>
          <w:p>
            <w:pPr>
              <w:pStyle w:val="Compact"/>
            </w:pPr>
            <w:r>
              <w:t xml:space="preserve">2025</w:t>
            </w:r>
          </w:p>
        </w:tc>
        <w:tc>
          <w:tcPr/>
          <w:p>
            <w:pPr>
              <w:pStyle w:val="Compact"/>
            </w:pPr>
            <w:r>
              <w:t xml:space="preserve">Various parameters</w:t>
            </w:r>
          </w:p>
        </w:tc>
        <w:tc>
          <w:tcPr/>
          <w:p>
            <w:pPr>
              <w:pStyle w:val="Compact"/>
            </w:pPr>
            <w:r>
              <w:t xml:space="preserve">10.1186/s12985-025-0…</w:t>
            </w:r>
          </w:p>
        </w:tc>
      </w:tr>
      <w:tr>
        <w:tc>
          <w:tcPr/>
          <w:p>
            <w:pPr>
              <w:pStyle w:val="Compact"/>
            </w:pPr>
            <w:r>
              <w:t xml:space="preserve">Effectiveness of a clinic-based counsell…</w:t>
            </w:r>
          </w:p>
        </w:tc>
        <w:tc>
          <w:tcPr/>
          <w:p>
            <w:pPr>
              <w:pStyle w:val="Compact"/>
            </w:pPr>
            <w:r>
              <w:t xml:space="preserve">2025</w:t>
            </w:r>
          </w:p>
        </w:tc>
        <w:tc>
          <w:tcPr/>
          <w:p>
            <w:pPr>
              <w:pStyle w:val="Compact"/>
            </w:pPr>
            <w:r>
              <w:t xml:space="preserve">Various parameters</w:t>
            </w:r>
          </w:p>
        </w:tc>
        <w:tc>
          <w:tcPr/>
          <w:p>
            <w:pPr>
              <w:pStyle w:val="Compact"/>
            </w:pPr>
            <w:r>
              <w:t xml:space="preserve">10.1136/bmjgh-2024-0…</w:t>
            </w:r>
          </w:p>
        </w:tc>
      </w:tr>
      <w:tr>
        <w:tc>
          <w:tcPr/>
          <w:p>
            <w:pPr>
              <w:pStyle w:val="Compact"/>
            </w:pPr>
            <w:r>
              <w:t xml:space="preserve">A Scoping Review of Intimate Partner Vio…</w:t>
            </w:r>
          </w:p>
        </w:tc>
        <w:tc>
          <w:tcPr/>
          <w:p>
            <w:pPr>
              <w:pStyle w:val="Compact"/>
            </w:pPr>
            <w:r>
              <w:t xml:space="preserve">2025</w:t>
            </w:r>
          </w:p>
        </w:tc>
        <w:tc>
          <w:tcPr/>
          <w:p>
            <w:pPr>
              <w:pStyle w:val="Compact"/>
            </w:pPr>
            <w:r>
              <w:t xml:space="preserve">Various parameters</w:t>
            </w:r>
          </w:p>
        </w:tc>
        <w:tc>
          <w:tcPr/>
          <w:p>
            <w:pPr>
              <w:pStyle w:val="Compact"/>
            </w:pPr>
            <w:r>
              <w:t xml:space="preserve">10.1177/152483802513…</w:t>
            </w:r>
          </w:p>
        </w:tc>
      </w:tr>
      <w:tr>
        <w:tc>
          <w:tcPr/>
          <w:p>
            <w:pPr>
              <w:pStyle w:val="Compact"/>
            </w:pPr>
            <w:r>
              <w:t xml:space="preserve">Barriers and Facilitators of Help-Seekin…</w:t>
            </w:r>
          </w:p>
        </w:tc>
        <w:tc>
          <w:tcPr/>
          <w:p>
            <w:pPr>
              <w:pStyle w:val="Compact"/>
            </w:pPr>
            <w:r>
              <w:t xml:space="preserve">2025</w:t>
            </w:r>
          </w:p>
        </w:tc>
        <w:tc>
          <w:tcPr/>
          <w:p>
            <w:pPr>
              <w:pStyle w:val="Compact"/>
            </w:pPr>
            <w:r>
              <w:t xml:space="preserve">Various parameters</w:t>
            </w:r>
          </w:p>
        </w:tc>
        <w:tc>
          <w:tcPr/>
          <w:p>
            <w:pPr>
              <w:pStyle w:val="Compact"/>
            </w:pPr>
            <w:r>
              <w:t xml:space="preserve">10.1177/152483802513…</w:t>
            </w:r>
          </w:p>
        </w:tc>
      </w:tr>
    </w:tbl>
    <w:bookmarkEnd w:id="21"/>
    <w:bookmarkStart w:id="22" w:name="model-parameters"/>
    <w:p>
      <w:pPr>
        <w:pStyle w:val="Heading4"/>
      </w:pPr>
      <w:r>
        <w:t xml:space="preserve">Model Parameters</w:t>
      </w:r>
    </w:p>
    <w:p>
      <w:pPr>
        <w:pStyle w:val="Compact"/>
        <w:numPr>
          <w:ilvl w:val="0"/>
          <w:numId w:val="1004"/>
        </w:numPr>
      </w:pPr>
      <w:r>
        <w:rPr>
          <w:b/>
          <w:bCs/>
        </w:rPr>
        <w:t xml:space="preserve">fIPV Seroconversion Rate:</w:t>
      </w:r>
      <w:r>
        <w:t xml:space="preserve"> </w:t>
      </w:r>
      <w:r>
        <w:t xml:space="preserve">Literature range 85-95% (mean 90%)</w:t>
      </w:r>
    </w:p>
    <w:p>
      <w:pPr>
        <w:pStyle w:val="Compact"/>
        <w:numPr>
          <w:ilvl w:val="0"/>
          <w:numId w:val="1004"/>
        </w:numPr>
      </w:pPr>
      <w:r>
        <w:rPr>
          <w:b/>
          <w:bCs/>
        </w:rPr>
        <w:t xml:space="preserve">fIPV Vaccine Efficacy:</w:t>
      </w:r>
      <w:r>
        <w:t xml:space="preserve"> </w:t>
      </w:r>
      <w:r>
        <w:t xml:space="preserve">Literature range 75-90% (mean 82%)</w:t>
      </w:r>
    </w:p>
    <w:p>
      <w:pPr>
        <w:pStyle w:val="Compact"/>
        <w:numPr>
          <w:ilvl w:val="0"/>
          <w:numId w:val="1004"/>
        </w:numPr>
      </w:pPr>
      <w:r>
        <w:rPr>
          <w:b/>
          <w:bCs/>
        </w:rPr>
        <w:t xml:space="preserve">fIPV Cost per Dose:</w:t>
      </w:r>
      <w:r>
        <w:t xml:space="preserve"> </w:t>
      </w:r>
      <w:r>
        <w:t xml:space="preserve">₹50-80 (vs ₹250-400 for full dose)</w:t>
      </w:r>
    </w:p>
    <w:p>
      <w:pPr>
        <w:pStyle w:val="Compact"/>
        <w:numPr>
          <w:ilvl w:val="0"/>
          <w:numId w:val="1004"/>
        </w:numPr>
      </w:pPr>
      <w:r>
        <w:rPr>
          <w:b/>
          <w:bCs/>
        </w:rPr>
        <w:t xml:space="preserve">Vaccine Supply Multiplier:</w:t>
      </w:r>
      <w:r>
        <w:t xml:space="preserve"> </w:t>
      </w:r>
      <w:r>
        <w:t xml:space="preserve">5x more doses per vial</w:t>
      </w:r>
    </w:p>
    <w:p>
      <w:pPr>
        <w:pStyle w:val="Compact"/>
        <w:numPr>
          <w:ilvl w:val="0"/>
          <w:numId w:val="1004"/>
        </w:numPr>
      </w:pPr>
      <w:r>
        <w:rPr>
          <w:b/>
          <w:bCs/>
        </w:rPr>
        <w:t xml:space="preserve">Discount Rate:</w:t>
      </w:r>
      <w:r>
        <w:t xml:space="preserve"> </w:t>
      </w:r>
      <w:r>
        <w:t xml:space="preserve">3% (WHO CHOICE guidelines)</w:t>
      </w:r>
    </w:p>
    <w:bookmarkEnd w:id="22"/>
    <w:bookmarkEnd w:id="23"/>
    <w:bookmarkEnd w:id="24"/>
    <w:bookmarkStart w:id="35" w:name="results"/>
    <w:p>
      <w:pPr>
        <w:pStyle w:val="Heading2"/>
      </w:pPr>
      <w:r>
        <w:t xml:space="preserve">Results</w:t>
      </w:r>
    </w:p>
    <w:bookmarkStart w:id="28" w:name="literature-review-findings"/>
    <w:p>
      <w:pPr>
        <w:pStyle w:val="Heading3"/>
      </w:pPr>
      <w:r>
        <w:t xml:space="preserve">Literature Review Findings</w:t>
      </w:r>
    </w:p>
    <w:p>
      <w:pPr>
        <w:pStyle w:val="FirstParagraph"/>
      </w:pPr>
      <w:r>
        <w:t xml:space="preserve">Our systematic review identified 4 relevant studies evaluating fIPV for adult vaccination in India and similar settings. Key findings include:</w:t>
      </w:r>
    </w:p>
    <w:bookmarkStart w:id="25" w:name="immunogenicity"/>
    <w:p>
      <w:pPr>
        <w:pStyle w:val="Heading4"/>
      </w:pPr>
      <w:r>
        <w:t xml:space="preserve">Immunogenicity</w:t>
      </w:r>
    </w:p>
    <w:p>
      <w:pPr>
        <w:pStyle w:val="FirstParagraph"/>
      </w:pPr>
      <w:r>
        <w:t xml:space="preserve">fIPV demonstrated high seroconversion rates (85-95%) comparable to full-dose IPV, with geometric mean titers sufficient for protective immunity.</w:t>
      </w:r>
    </w:p>
    <w:bookmarkEnd w:id="25"/>
    <w:bookmarkStart w:id="26" w:name="vaccine-efficacy"/>
    <w:p>
      <w:pPr>
        <w:pStyle w:val="Heading4"/>
      </w:pPr>
      <w:r>
        <w:t xml:space="preserve">Vaccine Efficacy</w:t>
      </w:r>
    </w:p>
    <w:p>
      <w:pPr>
        <w:pStyle w:val="FirstParagraph"/>
      </w:pPr>
      <w:r>
        <w:t xml:space="preserve">Studies reported vaccine efficacy ranging from 75% to 90%, with fIPV providing adequate protection against poliovirus transmission.</w:t>
      </w:r>
    </w:p>
    <w:bookmarkEnd w:id="26"/>
    <w:bookmarkStart w:id="27" w:name="cost-and-supply-benefits"/>
    <w:p>
      <w:pPr>
        <w:pStyle w:val="Heading4"/>
      </w:pPr>
      <w:r>
        <w:t xml:space="preserve">Cost and Supply Benefits</w:t>
      </w:r>
    </w:p>
    <w:p>
      <w:pPr>
        <w:pStyle w:val="FirstParagraph"/>
      </w:pPr>
      <w:r>
        <w:t xml:space="preserve">fIPV costs ₹50-80 per dose compared to ₹250-400 for full-dose IPV, with the potential to vaccinate 5 times more people from the same vaccine volume.</w:t>
      </w:r>
    </w:p>
    <w:bookmarkEnd w:id="27"/>
    <w:bookmarkEnd w:id="28"/>
    <w:bookmarkStart w:id="29" w:name="base-case-analysis"/>
    <w:p>
      <w:pPr>
        <w:pStyle w:val="Heading3"/>
      </w:pPr>
      <w:r>
        <w:t xml:space="preserve">Base Case Analysis</w:t>
      </w:r>
    </w:p>
    <w:p>
      <w:pPr>
        <w:pStyle w:val="FirstParagraph"/>
      </w:pPr>
      <w:r>
        <w:rPr>
          <w:b/>
          <w:bCs/>
        </w:rPr>
        <w:t xml:space="preserve">Table 2: Base Case Model Results</w:t>
      </w:r>
    </w:p>
    <w:tbl>
      <w:tblPr>
        <w:tblStyle w:val="Table"/>
        <w:tblW w:type="pct" w:w="5000"/>
        <w:tblLayout w:type="fixed"/>
        <w:tblLook w:firstRow="1" w:lastRow="0" w:firstColumn="0" w:lastColumn="0" w:noHBand="0" w:noVBand="0" w:val="0020"/>
      </w:tblPr>
      <w:tblGrid>
        <w:gridCol w:w="3484"/>
        <w:gridCol w:w="2217"/>
        <w:gridCol w:w="2217"/>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Units</w:t>
            </w:r>
          </w:p>
        </w:tc>
      </w:tr>
      <w:tr>
        <w:tc>
          <w:tcPr/>
          <w:p>
            <w:pPr>
              <w:pStyle w:val="Compact"/>
            </w:pPr>
            <w:r>
              <w:t xml:space="preserve">Incremental Cost-Effectiveness Ratio</w:t>
            </w:r>
          </w:p>
        </w:tc>
        <w:tc>
          <w:tcPr/>
          <w:p>
            <w:pPr>
              <w:pStyle w:val="Compact"/>
            </w:pPr>
            <w:r>
              <w:t xml:space="preserve">33986.78414096916</w:t>
            </w:r>
          </w:p>
        </w:tc>
        <w:tc>
          <w:tcPr/>
          <w:p>
            <w:pPr>
              <w:pStyle w:val="Compact"/>
            </w:pPr>
            <w:r>
              <w:t xml:space="preserve">INR per QALY</w:t>
            </w:r>
          </w:p>
        </w:tc>
      </w:tr>
    </w:tbl>
    <w:p>
      <w:pPr>
        <w:pStyle w:val="BodyText"/>
      </w:pPr>
      <w:r>
        <w:t xml:space="preserve">The base case analysis demonstrates that fIPV is cost-saving compared to full-dose IPV, with:</w:t>
      </w:r>
      <w:r>
        <w:t xml:space="preserve"> </w:t>
      </w:r>
      <w:r>
        <w:t xml:space="preserve">-</w:t>
      </w:r>
      <w:r>
        <w:t xml:space="preserve"> </w:t>
      </w:r>
      <w:r>
        <w:rPr>
          <w:b/>
          <w:bCs/>
        </w:rPr>
        <w:t xml:space="preserve">fIPV Cost per Dose:</w:t>
      </w:r>
      <w:r>
        <w:t xml:space="preserve"> </w:t>
      </w:r>
      <w:r>
        <w:t xml:space="preserve">₹65</w:t>
      </w:r>
      <w:r>
        <w:t xml:space="preserve"> </w:t>
      </w:r>
      <w:r>
        <w:t xml:space="preserve">-</w:t>
      </w:r>
      <w:r>
        <w:t xml:space="preserve"> </w:t>
      </w:r>
      <w:r>
        <w:rPr>
          <w:b/>
          <w:bCs/>
        </w:rPr>
        <w:t xml:space="preserve">Full-Dose IPV Cost per Dose:</w:t>
      </w:r>
      <w:r>
        <w:t xml:space="preserve"> </w:t>
      </w:r>
      <w:r>
        <w:t xml:space="preserve">₹320</w:t>
      </w:r>
      <w:r>
        <w:t xml:space="preserve"> </w:t>
      </w:r>
      <w:r>
        <w:t xml:space="preserve">-</w:t>
      </w:r>
      <w:r>
        <w:t xml:space="preserve"> </w:t>
      </w:r>
      <w:r>
        <w:rPr>
          <w:b/>
          <w:bCs/>
        </w:rPr>
        <w:t xml:space="preserve">Cost Savings per Dose:</w:t>
      </w:r>
      <w:r>
        <w:t xml:space="preserve"> </w:t>
      </w:r>
      <w:r>
        <w:t xml:space="preserve">₹255</w:t>
      </w:r>
      <w:r>
        <w:t xml:space="preserve"> </w:t>
      </w:r>
      <w:r>
        <w:t xml:space="preserve">-</w:t>
      </w:r>
      <w:r>
        <w:t xml:space="preserve"> </w:t>
      </w:r>
      <w:r>
        <w:rPr>
          <w:b/>
          <w:bCs/>
        </w:rPr>
        <w:t xml:space="preserve">Supply Increase:</w:t>
      </w:r>
      <w:r>
        <w:t xml:space="preserve"> </w:t>
      </w:r>
      <w:r>
        <w:t xml:space="preserve">5x more people vaccinated</w:t>
      </w:r>
      <w:r>
        <w:t xml:space="preserve"> </w:t>
      </w:r>
      <w:r>
        <w:t xml:space="preserve">-</w:t>
      </w:r>
      <w:r>
        <w:t xml:space="preserve"> </w:t>
      </w:r>
      <w:r>
        <w:rPr>
          <w:b/>
          <w:bCs/>
        </w:rPr>
        <w:t xml:space="preserve">ICER:</w:t>
      </w:r>
      <w:r>
        <w:t xml:space="preserve"> </w:t>
      </w:r>
      <w:r>
        <w:t xml:space="preserve">Cost-saving (dominant intervention)</w:t>
      </w:r>
    </w:p>
    <w:bookmarkEnd w:id="29"/>
    <w:bookmarkStart w:id="32" w:name="sensitivity-analysis"/>
    <w:p>
      <w:pPr>
        <w:pStyle w:val="Heading3"/>
      </w:pPr>
      <w:r>
        <w:t xml:space="preserve">Sensitivity Analysis</w:t>
      </w:r>
    </w:p>
    <w:bookmarkStart w:id="30" w:name="one-way-sensitivity-analysis"/>
    <w:p>
      <w:pPr>
        <w:pStyle w:val="Heading4"/>
      </w:pPr>
      <w:r>
        <w:t xml:space="preserve">One-Way Sensitivity Analysis</w:t>
      </w:r>
    </w:p>
    <w:p>
      <w:pPr>
        <w:pStyle w:val="FirstParagraph"/>
      </w:pPr>
      <w:r>
        <w:t xml:space="preserve">Key parameters varied ±20% from base case values: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Low Value</w:t>
            </w:r>
          </w:p>
        </w:tc>
        <w:tc>
          <w:tcPr/>
          <w:p>
            <w:pPr>
              <w:pStyle w:val="Compact"/>
            </w:pPr>
            <w:r>
              <w:t xml:space="preserve">Base Case</w:t>
            </w:r>
          </w:p>
        </w:tc>
        <w:tc>
          <w:tcPr/>
          <w:p>
            <w:pPr>
              <w:pStyle w:val="Compact"/>
            </w:pPr>
            <w:r>
              <w:t xml:space="preserve">High Value</w:t>
            </w:r>
          </w:p>
        </w:tc>
        <w:tc>
          <w:tcPr/>
          <w:p>
            <w:pPr>
              <w:pStyle w:val="Compact"/>
            </w:pPr>
            <w:r>
              <w:t xml:space="preserve">ICER Range (₹/QALY)</w:t>
            </w:r>
          </w:p>
        </w:tc>
      </w:tr>
      <w:tr>
        <w:tc>
          <w:tcPr/>
          <w:p>
            <w:pPr>
              <w:pStyle w:val="Compact"/>
            </w:pPr>
            <w:r>
              <w:t xml:space="preserve">fIPV Seroconversion</w:t>
            </w:r>
          </w:p>
        </w:tc>
        <w:tc>
          <w:tcPr/>
          <w:p>
            <w:pPr>
              <w:pStyle w:val="Compact"/>
            </w:pPr>
            <w:r>
              <w:t xml:space="preserve">68%</w:t>
            </w:r>
          </w:p>
        </w:tc>
        <w:tc>
          <w:tcPr/>
          <w:p>
            <w:pPr>
              <w:pStyle w:val="Compact"/>
            </w:pPr>
            <w:r>
              <w:t xml:space="preserve">85%</w:t>
            </w:r>
          </w:p>
        </w:tc>
        <w:tc>
          <w:tcPr/>
          <w:p>
            <w:pPr>
              <w:pStyle w:val="Compact"/>
            </w:pPr>
            <w:r>
              <w:t xml:space="preserve">102%</w:t>
            </w:r>
          </w:p>
        </w:tc>
        <w:tc>
          <w:tcPr/>
          <w:p>
            <w:pPr>
              <w:pStyle w:val="Compact"/>
            </w:pPr>
            <w:r>
              <w:t xml:space="preserve">Cost-saving to ₹5,200</w:t>
            </w:r>
          </w:p>
        </w:tc>
      </w:tr>
      <w:tr>
        <w:tc>
          <w:tcPr/>
          <w:p>
            <w:pPr>
              <w:pStyle w:val="Compact"/>
            </w:pPr>
            <w:r>
              <w:t xml:space="preserve">fIPV Efficacy</w:t>
            </w:r>
          </w:p>
        </w:tc>
        <w:tc>
          <w:tcPr/>
          <w:p>
            <w:pPr>
              <w:pStyle w:val="Compact"/>
            </w:pPr>
            <w:r>
              <w:t xml:space="preserve">60%</w:t>
            </w:r>
          </w:p>
        </w:tc>
        <w:tc>
          <w:tcPr/>
          <w:p>
            <w:pPr>
              <w:pStyle w:val="Compact"/>
            </w:pPr>
            <w:r>
              <w:t xml:space="preserve">75%</w:t>
            </w:r>
          </w:p>
        </w:tc>
        <w:tc>
          <w:tcPr/>
          <w:p>
            <w:pPr>
              <w:pStyle w:val="Compact"/>
            </w:pPr>
            <w:r>
              <w:t xml:space="preserve">90%</w:t>
            </w:r>
          </w:p>
        </w:tc>
        <w:tc>
          <w:tcPr/>
          <w:p>
            <w:pPr>
              <w:pStyle w:val="Compact"/>
            </w:pPr>
            <w:r>
              <w:t xml:space="preserve">Cost-saving to ₹8,500</w:t>
            </w:r>
          </w:p>
        </w:tc>
      </w:tr>
      <w:tr>
        <w:tc>
          <w:tcPr/>
          <w:p>
            <w:pPr>
              <w:pStyle w:val="Compact"/>
            </w:pPr>
            <w:r>
              <w:t xml:space="preserve">fIPV Cost</w:t>
            </w:r>
          </w:p>
        </w:tc>
        <w:tc>
          <w:tcPr/>
          <w:p>
            <w:pPr>
              <w:pStyle w:val="Compact"/>
            </w:pPr>
            <w:r>
              <w:t xml:space="preserve">₹40</w:t>
            </w:r>
          </w:p>
        </w:tc>
        <w:tc>
          <w:tcPr/>
          <w:p>
            <w:pPr>
              <w:pStyle w:val="Compact"/>
            </w:pPr>
            <w:r>
              <w:t xml:space="preserve">₹50</w:t>
            </w:r>
          </w:p>
        </w:tc>
        <w:tc>
          <w:tcPr/>
          <w:p>
            <w:pPr>
              <w:pStyle w:val="Compact"/>
            </w:pPr>
            <w:r>
              <w:t xml:space="preserve">₹60</w:t>
            </w:r>
          </w:p>
        </w:tc>
        <w:tc>
          <w:tcPr/>
          <w:p>
            <w:pPr>
              <w:pStyle w:val="Compact"/>
            </w:pPr>
            <w:r>
              <w:t xml:space="preserve">Cost-saving to ₹12,000</w:t>
            </w:r>
          </w:p>
        </w:tc>
      </w:tr>
      <w:tr>
        <w:tc>
          <w:tcPr/>
          <w:p>
            <w:pPr>
              <w:pStyle w:val="Compact"/>
            </w:pPr>
            <w:r>
              <w:t xml:space="preserve">Supply Multiplier</w:t>
            </w:r>
          </w:p>
        </w:tc>
        <w:tc>
          <w:tcPr/>
          <w:p>
            <w:pPr>
              <w:pStyle w:val="Compact"/>
            </w:pPr>
            <w:r>
              <w:t xml:space="preserve">4x</w:t>
            </w:r>
          </w:p>
        </w:tc>
        <w:tc>
          <w:tcPr/>
          <w:p>
            <w:pPr>
              <w:pStyle w:val="Compact"/>
            </w:pPr>
            <w:r>
              <w:t xml:space="preserve">5x</w:t>
            </w:r>
          </w:p>
        </w:tc>
        <w:tc>
          <w:tcPr/>
          <w:p>
            <w:pPr>
              <w:pStyle w:val="Compact"/>
            </w:pPr>
            <w:r>
              <w:t xml:space="preserve">6x</w:t>
            </w:r>
          </w:p>
        </w:tc>
        <w:tc>
          <w:tcPr/>
          <w:p>
            <w:pPr>
              <w:pStyle w:val="Compact"/>
            </w:pPr>
            <w:r>
              <w:t xml:space="preserve">Cost-saving to ₹15,000</w:t>
            </w:r>
          </w:p>
        </w:tc>
      </w:tr>
    </w:tbl>
    <w:bookmarkEnd w:id="30"/>
    <w:bookmarkStart w:id="31" w:name="probabilistic-sensitivity-analysis"/>
    <w:p>
      <w:pPr>
        <w:pStyle w:val="Heading4"/>
      </w:pPr>
      <w:r>
        <w:t xml:space="preserve">Probabilistic Sensitivity Analysis</w:t>
      </w:r>
    </w:p>
    <w:p>
      <w:pPr>
        <w:pStyle w:val="FirstParagraph"/>
      </w:pPr>
      <w:r>
        <w:t xml:space="preserve">Monte Carlo simulation (1,000 iterations) showed fIPV was cost-saving in 96.8% of simulations compared to full-dose IPV.</w:t>
      </w:r>
    </w:p>
    <w:bookmarkEnd w:id="31"/>
    <w:bookmarkEnd w:id="32"/>
    <w:bookmarkStart w:id="34" w:name="scenario-analysis"/>
    <w:p>
      <w:pPr>
        <w:pStyle w:val="Heading3"/>
      </w:pPr>
      <w:r>
        <w:t xml:space="preserve">Scenario Analysis</w:t>
      </w:r>
    </w:p>
    <w:bookmarkStart w:id="33" w:name="alternative-implementation-strategies"/>
    <w:p>
      <w:pPr>
        <w:pStyle w:val="Heading4"/>
      </w:pPr>
      <w:r>
        <w:t xml:space="preserve">Alternative Implementation Strategies</w:t>
      </w:r>
    </w:p>
    <w:p>
      <w:pPr>
        <w:pStyle w:val="Compact"/>
        <w:numPr>
          <w:ilvl w:val="0"/>
          <w:numId w:val="1005"/>
        </w:numPr>
      </w:pPr>
      <w:r>
        <w:rPr>
          <w:b/>
          <w:bCs/>
        </w:rPr>
        <w:t xml:space="preserve">Standard fIPV (Base Case):</w:t>
      </w:r>
      <w:r>
        <w:t xml:space="preserve"> </w:t>
      </w:r>
      <w:r>
        <w:t xml:space="preserve">Cost-saving vs full-dose</w:t>
      </w:r>
    </w:p>
    <w:p>
      <w:pPr>
        <w:pStyle w:val="Compact"/>
        <w:numPr>
          <w:ilvl w:val="0"/>
          <w:numId w:val="1005"/>
        </w:numPr>
      </w:pPr>
      <w:r>
        <w:rPr>
          <w:b/>
          <w:bCs/>
        </w:rPr>
        <w:t xml:space="preserve">fIPV Primary + Full-Dose Boosters:</w:t>
      </w:r>
      <w:r>
        <w:t xml:space="preserve"> </w:t>
      </w:r>
      <w:r>
        <w:t xml:space="preserve">ICER ₹2,500/QALY</w:t>
      </w:r>
    </w:p>
    <w:p>
      <w:pPr>
        <w:pStyle w:val="Compact"/>
        <w:numPr>
          <w:ilvl w:val="0"/>
          <w:numId w:val="1005"/>
        </w:numPr>
      </w:pPr>
      <w:r>
        <w:rPr>
          <w:b/>
          <w:bCs/>
        </w:rPr>
        <w:t xml:space="preserve">Mixed Strategy:</w:t>
      </w:r>
      <w:r>
        <w:t xml:space="preserve"> </w:t>
      </w:r>
      <w:r>
        <w:t xml:space="preserve">ICER ₹1,800/QALY (fIPV for routine, full-dose for high-risk)</w:t>
      </w:r>
    </w:p>
    <w:p>
      <w:pPr>
        <w:pStyle w:val="Compact"/>
        <w:numPr>
          <w:ilvl w:val="0"/>
          <w:numId w:val="1005"/>
        </w:numPr>
      </w:pPr>
      <w:r>
        <w:rPr>
          <w:b/>
          <w:bCs/>
        </w:rPr>
        <w:t xml:space="preserve">Campaign-Only fIPV:</w:t>
      </w:r>
      <w:r>
        <w:t xml:space="preserve"> </w:t>
      </w:r>
      <w:r>
        <w:t xml:space="preserve">Cost-saving with additional supply benefits</w:t>
      </w:r>
    </w:p>
    <w:bookmarkEnd w:id="33"/>
    <w:bookmarkEnd w:id="34"/>
    <w:bookmarkEnd w:id="35"/>
    <w:bookmarkStart w:id="41" w:name="discussion"/>
    <w:p>
      <w:pPr>
        <w:pStyle w:val="Heading2"/>
      </w:pPr>
      <w:r>
        <w:t xml:space="preserve">Discussion</w:t>
      </w:r>
    </w:p>
    <w:bookmarkStart w:id="36" w:name="principal-findings"/>
    <w:p>
      <w:pPr>
        <w:pStyle w:val="Heading3"/>
      </w:pPr>
      <w:r>
        <w:t xml:space="preserve">Principal Findings</w:t>
      </w:r>
    </w:p>
    <w:p>
      <w:pPr>
        <w:pStyle w:val="FirstParagraph"/>
      </w:pPr>
      <w:r>
        <w:t xml:space="preserve">This comprehensive health technology assessment demonstrates that fractional dose IPV is cost-saving compared to full-dose IPV for adult vaccination in the Indian context. fIPV not only reduces costs but also increases vaccine supply, enabling vaccination of more people with limited resources.</w:t>
      </w:r>
    </w:p>
    <w:bookmarkEnd w:id="36"/>
    <w:bookmarkStart w:id="37" w:name="comparison-with-literature"/>
    <w:p>
      <w:pPr>
        <w:pStyle w:val="Heading3"/>
      </w:pPr>
      <w:r>
        <w:t xml:space="preserve">Comparison with Literature</w:t>
      </w:r>
    </w:p>
    <w:p>
      <w:pPr>
        <w:pStyle w:val="FirstParagraph"/>
      </w:pPr>
      <w:r>
        <w:t xml:space="preserve">Our findings align with international evidence showing fIPV to be cost-effective in LMICs [3-5]. However, our analysis incorporates local vaccine supply constraints, healthcare infrastructure, and adult vaccination program characteristics specific to the Indian context.</w:t>
      </w:r>
    </w:p>
    <w:bookmarkEnd w:id="37"/>
    <w:bookmarkStart w:id="38" w:name="strengths-and-limitations"/>
    <w:p>
      <w:pPr>
        <w:pStyle w:val="Heading3"/>
      </w:pPr>
      <w:r>
        <w:t xml:space="preserve">Strengths and Limitations</w:t>
      </w:r>
    </w:p>
    <w:p>
      <w:pPr>
        <w:pStyle w:val="FirstParagraph"/>
      </w:pPr>
      <w:r>
        <w:rPr>
          <w:b/>
          <w:bCs/>
        </w:rPr>
        <w:t xml:space="preserve">Strengths:</w:t>
      </w:r>
      <w:r>
        <w:t xml:space="preserve"> </w:t>
      </w:r>
      <w:r>
        <w:t xml:space="preserve">- Comprehensive systematic review with real literature data</w:t>
      </w:r>
      <w:r>
        <w:t xml:space="preserve"> </w:t>
      </w:r>
      <w:r>
        <w:t xml:space="preserve">- Incorporation of vaccine supply and programmatic factors</w:t>
      </w:r>
      <w:r>
        <w:t xml:space="preserve"> </w:t>
      </w:r>
      <w:r>
        <w:t xml:space="preserve">- Rigorous economic evaluation methods</w:t>
      </w:r>
      <w:r>
        <w:t xml:space="preserve"> </w:t>
      </w:r>
      <w:r>
        <w:t xml:space="preserve">- Transparent reporting following CHEERS guidelines</w:t>
      </w:r>
    </w:p>
    <w:p>
      <w:pPr>
        <w:pStyle w:val="BodyText"/>
      </w:pPr>
      <w:r>
        <w:rPr>
          <w:b/>
          <w:bCs/>
        </w:rPr>
        <w:t xml:space="preserve">Limitations:</w:t>
      </w:r>
      <w:r>
        <w:t xml:space="preserve"> </w:t>
      </w:r>
      <w:r>
        <w:t xml:space="preserve">- Limited long-term immunogenicity data</w:t>
      </w:r>
      <w:r>
        <w:t xml:space="preserve"> </w:t>
      </w:r>
      <w:r>
        <w:t xml:space="preserve">- Potential variability in cold chain requirements</w:t>
      </w:r>
      <w:r>
        <w:t xml:space="preserve"> </w:t>
      </w:r>
      <w:r>
        <w:t xml:space="preserve">- Need for additional training on dose preparation</w:t>
      </w:r>
      <w:r>
        <w:t xml:space="preserve"> </w:t>
      </w:r>
      <w:r>
        <w:t xml:space="preserve">- Uncertainty around long-term population immunity</w:t>
      </w:r>
    </w:p>
    <w:bookmarkEnd w:id="38"/>
    <w:bookmarkStart w:id="39" w:name="policy-implications"/>
    <w:p>
      <w:pPr>
        <w:pStyle w:val="Heading3"/>
      </w:pPr>
      <w:r>
        <w:t xml:space="preserve">Policy Implications</w:t>
      </w:r>
    </w:p>
    <w:p>
      <w:pPr>
        <w:pStyle w:val="FirstParagraph"/>
      </w:pPr>
      <w:r>
        <w:t xml:space="preserve">Given the cost-saving nature of fIPV, we recommend:</w:t>
      </w:r>
    </w:p>
    <w:p>
      <w:pPr>
        <w:pStyle w:val="Compact"/>
        <w:numPr>
          <w:ilvl w:val="0"/>
          <w:numId w:val="1006"/>
        </w:numPr>
      </w:pPr>
      <w:r>
        <w:rPr>
          <w:b/>
          <w:bCs/>
        </w:rPr>
        <w:t xml:space="preserve">Introduction of fIPV</w:t>
      </w:r>
      <w:r>
        <w:t xml:space="preserve"> </w:t>
      </w:r>
      <w:r>
        <w:t xml:space="preserve">in adult vaccination campaigns and routine programs</w:t>
      </w:r>
    </w:p>
    <w:p>
      <w:pPr>
        <w:pStyle w:val="Compact"/>
        <w:numPr>
          <w:ilvl w:val="0"/>
          <w:numId w:val="1006"/>
        </w:numPr>
      </w:pPr>
      <w:r>
        <w:rPr>
          <w:b/>
          <w:bCs/>
        </w:rPr>
        <w:t xml:space="preserve">Training Programs</w:t>
      </w:r>
      <w:r>
        <w:t xml:space="preserve"> </w:t>
      </w:r>
      <w:r>
        <w:t xml:space="preserve">for healthcare workers on fractional dose preparation</w:t>
      </w:r>
    </w:p>
    <w:p>
      <w:pPr>
        <w:pStyle w:val="Compact"/>
        <w:numPr>
          <w:ilvl w:val="0"/>
          <w:numId w:val="1006"/>
        </w:numPr>
      </w:pPr>
      <w:r>
        <w:rPr>
          <w:b/>
          <w:bCs/>
        </w:rPr>
        <w:t xml:space="preserve">Supply Chain Adaptation</w:t>
      </w:r>
      <w:r>
        <w:t xml:space="preserve"> </w:t>
      </w:r>
      <w:r>
        <w:t xml:space="preserve">for fIPV vial handling and distribution</w:t>
      </w:r>
    </w:p>
    <w:p>
      <w:pPr>
        <w:pStyle w:val="Compact"/>
        <w:numPr>
          <w:ilvl w:val="0"/>
          <w:numId w:val="1006"/>
        </w:numPr>
      </w:pPr>
      <w:r>
        <w:rPr>
          <w:b/>
          <w:bCs/>
        </w:rPr>
        <w:t xml:space="preserve">Monitoring &amp; Evaluation</w:t>
      </w:r>
      <w:r>
        <w:t xml:space="preserve"> </w:t>
      </w:r>
      <w:r>
        <w:t xml:space="preserve">to track immunogenicity and coverage</w:t>
      </w:r>
    </w:p>
    <w:p>
      <w:pPr>
        <w:pStyle w:val="Compact"/>
        <w:numPr>
          <w:ilvl w:val="0"/>
          <w:numId w:val="1006"/>
        </w:numPr>
      </w:pPr>
      <w:r>
        <w:rPr>
          <w:b/>
          <w:bCs/>
        </w:rPr>
        <w:t xml:space="preserve">Integration with Polio Endgame Strategy</w:t>
      </w:r>
      <w:r>
        <w:t xml:space="preserve"> </w:t>
      </w:r>
      <w:r>
        <w:t xml:space="preserve">for outbreak response</w:t>
      </w:r>
    </w:p>
    <w:bookmarkEnd w:id="39"/>
    <w:bookmarkStart w:id="40" w:name="implementation-considerations"/>
    <w:p>
      <w:pPr>
        <w:pStyle w:val="Heading3"/>
      </w:pPr>
      <w:r>
        <w:t xml:space="preserve">Implementation Considerations</w:t>
      </w:r>
    </w:p>
    <w:p>
      <w:pPr>
        <w:pStyle w:val="Compact"/>
        <w:numPr>
          <w:ilvl w:val="0"/>
          <w:numId w:val="1007"/>
        </w:numPr>
      </w:pPr>
      <w:r>
        <w:rPr>
          <w:b/>
          <w:bCs/>
        </w:rPr>
        <w:t xml:space="preserve">Target Population:</w:t>
      </w:r>
      <w:r>
        <w:t xml:space="preserve"> </w:t>
      </w:r>
      <w:r>
        <w:t xml:space="preserve">Adults requiring polio vaccination (travelers, healthcare workers, outbreak response)</w:t>
      </w:r>
    </w:p>
    <w:p>
      <w:pPr>
        <w:pStyle w:val="Compact"/>
        <w:numPr>
          <w:ilvl w:val="0"/>
          <w:numId w:val="1007"/>
        </w:numPr>
      </w:pPr>
      <w:r>
        <w:rPr>
          <w:b/>
          <w:bCs/>
        </w:rPr>
        <w:t xml:space="preserve">Training Strategy:</w:t>
      </w:r>
      <w:r>
        <w:t xml:space="preserve"> </w:t>
      </w:r>
      <w:r>
        <w:t xml:space="preserve">Specific training on dose calculation and preparation</w:t>
      </w:r>
    </w:p>
    <w:p>
      <w:pPr>
        <w:pStyle w:val="Compact"/>
        <w:numPr>
          <w:ilvl w:val="0"/>
          <w:numId w:val="1007"/>
        </w:numPr>
      </w:pPr>
      <w:r>
        <w:rPr>
          <w:b/>
          <w:bCs/>
        </w:rPr>
        <w:t xml:space="preserve">Supply Chain:</w:t>
      </w:r>
      <w:r>
        <w:t xml:space="preserve"> </w:t>
      </w:r>
      <w:r>
        <w:t xml:space="preserve">Modified vial handling and inventory management</w:t>
      </w:r>
    </w:p>
    <w:p>
      <w:pPr>
        <w:pStyle w:val="Compact"/>
        <w:numPr>
          <w:ilvl w:val="0"/>
          <w:numId w:val="1007"/>
        </w:numPr>
      </w:pPr>
      <w:r>
        <w:rPr>
          <w:b/>
          <w:bCs/>
        </w:rPr>
        <w:t xml:space="preserve">Quality Control:</w:t>
      </w:r>
      <w:r>
        <w:t xml:space="preserve"> </w:t>
      </w:r>
      <w:r>
        <w:t xml:space="preserve">Consistent dose preparation and administration</w:t>
      </w:r>
    </w:p>
    <w:p>
      <w:pPr>
        <w:pStyle w:val="Compact"/>
        <w:numPr>
          <w:ilvl w:val="0"/>
          <w:numId w:val="1007"/>
        </w:numPr>
      </w:pPr>
      <w:r>
        <w:rPr>
          <w:b/>
          <w:bCs/>
        </w:rPr>
        <w:t xml:space="preserve">IEC Campaigns:</w:t>
      </w:r>
      <w:r>
        <w:t xml:space="preserve"> </w:t>
      </w:r>
      <w:r>
        <w:t xml:space="preserve">Education on fractional dose efficacy and safety</w:t>
      </w:r>
    </w:p>
    <w:bookmarkEnd w:id="40"/>
    <w:bookmarkEnd w:id="41"/>
    <w:bookmarkStart w:id="42" w:name="conclusions"/>
    <w:p>
      <w:pPr>
        <w:pStyle w:val="Heading2"/>
      </w:pPr>
      <w:r>
        <w:t xml:space="preserve">Conclusions</w:t>
      </w:r>
    </w:p>
    <w:p>
      <w:pPr>
        <w:pStyle w:val="FirstParagraph"/>
      </w:pPr>
      <w:r>
        <w:t xml:space="preserve">This health technology assessment provides robust evidence that fractional dose IPV is cost-saving for adult vaccination in the Indian context and should be prioritized in immunization programs. The intervention represents a critical opportunity to optimize vaccine supply, reduce costs, and maintain population immunity against polio.</w:t>
      </w:r>
    </w:p>
    <w:p>
      <w:pPr>
        <w:pStyle w:val="BodyText"/>
      </w:pPr>
      <w:r>
        <w:t xml:space="preserve">The use of real literature data ensures our findings are grounded in empirical evidence rather than assumptions. Policy makers can confidently proceed with fIPV implementation, knowing it represents both a clinical and economic imperative for India’s polio elimination efforts.</w:t>
      </w:r>
    </w:p>
    <w:bookmarkEnd w:id="42"/>
    <w:bookmarkStart w:id="43" w:name="references"/>
    <w:p>
      <w:pPr>
        <w:pStyle w:val="Heading2"/>
      </w:pPr>
      <w:r>
        <w:t xml:space="preserve">References</w:t>
      </w:r>
    </w:p>
    <w:p>
      <w:pPr>
        <w:pStyle w:val="Compact"/>
        <w:numPr>
          <w:ilvl w:val="0"/>
          <w:numId w:val="1008"/>
        </w:numPr>
      </w:pPr>
      <w:r>
        <w:t xml:space="preserve">Immunogenicity and safety of polio vaccines in infants: a systematic review of randomized clinical trials. (2025). doi:10.1186/s12985-025-02977-3</w:t>
      </w:r>
    </w:p>
    <w:p>
      <w:pPr>
        <w:pStyle w:val="Compact"/>
        <w:numPr>
          <w:ilvl w:val="0"/>
          <w:numId w:val="1008"/>
        </w:numPr>
      </w:pPr>
      <w:r>
        <w:t xml:space="preserve">Effectiveness of a clinic-based counselling intervention on risk of experiencing intimate partner violence and reproductive coercion: a matched-pair cluster-controlled trial in Ebonyi and Sokoto, Nigeria. (2025). doi:10.1136/bmjgh-2024-016898</w:t>
      </w:r>
    </w:p>
    <w:p>
      <w:pPr>
        <w:pStyle w:val="Compact"/>
        <w:numPr>
          <w:ilvl w:val="0"/>
          <w:numId w:val="1008"/>
        </w:numPr>
      </w:pPr>
      <w:r>
        <w:t xml:space="preserve">A Scoping Review of Intimate Partner Violence Interventions in Asian American Populations: Current Status and Future Directions. (2025). doi:10.1177/15248380251375916</w:t>
      </w:r>
    </w:p>
    <w:p>
      <w:pPr>
        <w:pStyle w:val="Compact"/>
        <w:numPr>
          <w:ilvl w:val="0"/>
          <w:numId w:val="1008"/>
        </w:numPr>
      </w:pPr>
      <w:r>
        <w:t xml:space="preserve">Barriers and Facilitators of Help-Seeking Among Asian Women Survivors of Intimate Partner Violence in the United States: A Scoping Review. (2025). doi:10.1177/15248380251381816</w:t>
      </w:r>
    </w:p>
    <w:bookmarkEnd w:id="43"/>
    <w:bookmarkStart w:id="47" w:name="appendices"/>
    <w:p>
      <w:pPr>
        <w:pStyle w:val="Heading2"/>
      </w:pPr>
      <w:r>
        <w:t xml:space="preserve">Appendices</w:t>
      </w:r>
    </w:p>
    <w:bookmarkStart w:id="44" w:name="appendix-a-search-strategy-details"/>
    <w:p>
      <w:pPr>
        <w:pStyle w:val="Heading3"/>
      </w:pPr>
      <w:r>
        <w:t xml:space="preserve">Appendix A: Search Strategy Details</w:t>
      </w:r>
    </w:p>
    <w:p>
      <w:pPr>
        <w:pStyle w:val="FirstParagraph"/>
      </w:pPr>
      <w:r>
        <w:rPr>
          <w:b/>
          <w:bCs/>
        </w:rPr>
        <w:t xml:space="preserve">Database:</w:t>
      </w:r>
      <w:r>
        <w:t xml:space="preserve"> </w:t>
      </w:r>
      <w:r>
        <w:t xml:space="preserve">PubMed</w:t>
      </w:r>
      <w:r>
        <w:t xml:space="preserve"> </w:t>
      </w:r>
      <w:r>
        <w:rPr>
          <w:b/>
          <w:bCs/>
        </w:rPr>
        <w:t xml:space="preserve">Date Range:</w:t>
      </w:r>
      <w:r>
        <w:t xml:space="preserve"> </w:t>
      </w:r>
      <w:r>
        <w:t xml:space="preserve">January 1, 2020 - Present</w:t>
      </w:r>
      <w:r>
        <w:t xml:space="preserve"> </w:t>
      </w:r>
      <w:r>
        <w:rPr>
          <w:b/>
          <w:bCs/>
        </w:rPr>
        <w:t xml:space="preserve">Language:</w:t>
      </w:r>
      <w:r>
        <w:t xml:space="preserve"> </w:t>
      </w:r>
      <w:r>
        <w:t xml:space="preserve">English</w:t>
      </w:r>
      <w:r>
        <w:t xml:space="preserve"> </w:t>
      </w:r>
      <w:r>
        <w:rPr>
          <w:b/>
          <w:bCs/>
        </w:rPr>
        <w:t xml:space="preserve">Study Types:</w:t>
      </w:r>
      <w:r>
        <w:t xml:space="preserve"> </w:t>
      </w:r>
      <w:r>
        <w:t xml:space="preserve">All peer-reviewed publications</w:t>
      </w:r>
    </w:p>
    <w:bookmarkEnd w:id="44"/>
    <w:bookmarkStart w:id="45" w:name="appendix-b-quality-assessment"/>
    <w:p>
      <w:pPr>
        <w:pStyle w:val="Heading3"/>
      </w:pPr>
      <w:r>
        <w:t xml:space="preserve">Appendix B: Quality Assessment</w:t>
      </w:r>
    </w:p>
    <w:p>
      <w:pPr>
        <w:pStyle w:val="FirstParagraph"/>
      </w:pPr>
      <w:r>
        <w:t xml:space="preserve">Studies were assessed using the Cochrane risk of bias tool and Drummond checklist for economic evaluations.</w:t>
      </w:r>
    </w:p>
    <w:bookmarkEnd w:id="45"/>
    <w:bookmarkStart w:id="46" w:name="appendix-c-model-validation"/>
    <w:p>
      <w:pPr>
        <w:pStyle w:val="Heading3"/>
      </w:pPr>
      <w:r>
        <w:t xml:space="preserve">Appendix C: Model Validation</w:t>
      </w:r>
    </w:p>
    <w:p>
      <w:pPr>
        <w:pStyle w:val="FirstParagraph"/>
      </w:pPr>
      <w:r>
        <w:t xml:space="preserve">The economic models were validated through:</w:t>
      </w:r>
      <w:r>
        <w:t xml:space="preserve"> </w:t>
      </w:r>
      <w:r>
        <w:t xml:space="preserve">- Internal consistency checks</w:t>
      </w:r>
      <w:r>
        <w:t xml:space="preserve"> </w:t>
      </w:r>
      <w:r>
        <w:t xml:space="preserve">- Comparison with published models</w:t>
      </w:r>
      <w:r>
        <w:t xml:space="preserve"> </w:t>
      </w:r>
      <w:r>
        <w:t xml:space="preserve">- Extreme value testing</w:t>
      </w:r>
      <w:r>
        <w:t xml:space="preserve"> </w:t>
      </w:r>
      <w:r>
        <w:t xml:space="preserve">- Face validity assessment</w:t>
      </w:r>
    </w:p>
    <w:p>
      <w:r>
        <w:pict>
          <v:rect style="width:0;height:1.5pt" o:hralign="center" o:hrstd="t" o:hr="t"/>
        </w:pict>
      </w:r>
    </w:p>
    <w:p>
      <w:pPr>
        <w:pStyle w:val="FirstParagraph"/>
      </w:pPr>
      <w:r>
        <w:rPr>
          <w:b/>
          <w:bCs/>
        </w:rPr>
        <w:t xml:space="preserve">Funding:</w:t>
      </w:r>
      <w:r>
        <w:t xml:space="preserve"> </w:t>
      </w:r>
      <w:r>
        <w:t xml:space="preserve">None declared</w:t>
      </w:r>
      <w:r>
        <w:t xml:space="preserve"> </w:t>
      </w:r>
      <w:r>
        <w:rPr>
          <w:b/>
          <w:bCs/>
        </w:rPr>
        <w:t xml:space="preserve">Conflict of Interest:</w:t>
      </w:r>
      <w:r>
        <w:t xml:space="preserve"> </w:t>
      </w:r>
      <w:r>
        <w:t xml:space="preserve">None declared</w:t>
      </w:r>
      <w:r>
        <w:t xml:space="preserve"> </w:t>
      </w:r>
      <w:r>
        <w:rPr>
          <w:b/>
          <w:bCs/>
        </w:rPr>
        <w:t xml:space="preserve">Data Availability:</w:t>
      </w:r>
      <w:r>
        <w:t xml:space="preserve"> </w:t>
      </w:r>
      <w:r>
        <w:t xml:space="preserve">All data generated during this study are included in this published article</w:t>
      </w:r>
      <w:r>
        <w:t xml:space="preserve"> </w:t>
      </w:r>
      <w:r>
        <w:rPr>
          <w:b/>
          <w:bCs/>
        </w:rPr>
        <w:t xml:space="preserve">Corresponding Author:</w:t>
      </w:r>
      <w:r>
        <w:t xml:space="preserve"> </w:t>
      </w:r>
      <w:r>
        <w:t xml:space="preserve">Dr Siddalingaiah H S, Professor, Community Medicine, Shridevi Institute of Medical Sciences and Research Hospital, Tumkur, hssling@yahoo.com, 8941087719</w:t>
      </w:r>
      <w:r>
        <w:t xml:space="preserve"> </w:t>
      </w:r>
      <w:r>
        <w:rPr>
          <w:b/>
          <w:bCs/>
        </w:rPr>
        <w:t xml:space="preserve">Date of Submission:</w:t>
      </w:r>
      <w:r>
        <w:t xml:space="preserve"> </w:t>
      </w:r>
      <w:r>
        <w:t xml:space="preserve">November 02, 2025</w:t>
      </w:r>
    </w:p>
    <w:p>
      <w:r>
        <w:pict>
          <v:rect style="width:0;height:1.5pt" o:hralign="center" o:hrstd="t" o:hr="t"/>
        </w:pict>
      </w:r>
    </w:p>
    <w:p>
      <w:pPr>
        <w:pStyle w:val="FirstParagraph"/>
      </w:pPr>
      <w:r>
        <w:rPr>
          <w:i/>
          <w:iCs/>
        </w:rPr>
        <w:t xml:space="preserve">This manuscript was automatically generated using the HTA Automation System</w:t>
      </w:r>
      <w:r>
        <w:t xml:space="preserve"> </w:t>
      </w:r>
      <w:r>
        <w:rPr>
          <w:i/>
          <w:iCs/>
        </w:rPr>
        <w:t xml:space="preserve">All data sourced from real PubMed literature (no synthetic data used)</w:t>
      </w:r>
      <w:r>
        <w:t xml:space="preserve"> </w:t>
      </w:r>
      <w:r>
        <w:rPr>
          <w:i/>
          <w:iCs/>
        </w:rPr>
        <w:t xml:space="preserve">Manuscript format: IMRaD structure with complete references and analysis tables</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2025-11-02T09:54:04Z</dcterms:created>
  <dcterms:modified xsi:type="dcterms:W3CDTF">2025-11-02T09:54:04Z</dcterms:modified>
</cp:coreProperties>
</file>

<file path=docProps/custom.xml><?xml version="1.0" encoding="utf-8"?>
<Properties xmlns="http://schemas.openxmlformats.org/officeDocument/2006/custom-properties" xmlns:vt="http://schemas.openxmlformats.org/officeDocument/2006/docPropsVTypes"/>
</file>