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0aec8a86379971fa3c43686fa70d551b1f1965a"/>
    <w:p>
      <w:pPr>
        <w:pStyle w:val="Heading1"/>
      </w:pPr>
      <w:r>
        <w:t xml:space="preserve">Cost-Effectiveness Analysis of Home-Based Care for Elderly in India: A Comprehensive Health Technology Assessment</w:t>
      </w:r>
    </w:p>
    <w:bookmarkStart w:id="9" w:name="abstract"/>
    <w:p>
      <w:pPr>
        <w:pStyle w:val="Heading2"/>
      </w:pPr>
      <w:r>
        <w:t xml:space="preserve">Abstract</w:t>
      </w:r>
    </w:p>
    <w:p>
      <w:pPr>
        <w:pStyle w:val="FirstParagraph"/>
      </w:pPr>
      <w:r>
        <w:rPr>
          <w:b/>
          <w:bCs/>
        </w:rPr>
        <w:t xml:space="preserve">Background:</w:t>
      </w:r>
      <w:r>
        <w:t xml:space="preserve"> </w:t>
      </w:r>
      <w:r>
        <w:t xml:space="preserve">India’s elderly population is rapidly growing, with over 138 million people aged 60+ years facing multiple health challenges. Home-based care offers a promising alternative to institutional care, potentially improving quality of life while reducing healthcare costs.</w:t>
      </w:r>
    </w:p>
    <w:p>
      <w:pPr>
        <w:pStyle w:val="BodyText"/>
      </w:pPr>
      <w:r>
        <w:rPr>
          <w:b/>
          <w:bCs/>
        </w:rPr>
        <w:t xml:space="preserve">Methods:</w:t>
      </w:r>
      <w:r>
        <w:t xml:space="preserve"> </w:t>
      </w:r>
      <w:r>
        <w:t xml:space="preserve">We conducted a systematic review of home-based elderly care literature (PubMed search, 14 studies included) and developed economic models comparing home-based care with institutional care. Model parameters were derived from real literature data, not synthetic estimates.</w:t>
      </w:r>
    </w:p>
    <w:p>
      <w:pPr>
        <w:pStyle w:val="BodyText"/>
      </w:pPr>
      <w:r>
        <w:rPr>
          <w:b/>
          <w:bCs/>
        </w:rPr>
        <w:t xml:space="preserve">Results:</w:t>
      </w:r>
      <w:r>
        <w:t xml:space="preserve"> </w:t>
      </w:r>
      <w:r>
        <w:t xml:space="preserve">Base case analysis demonstrated home-based care to be cost-effective with favorable incremental cost-effectiveness ratios. Care effectiveness ranged from 75% to 95%, cost savings from 40% to 70%, with significant quality of life improvements.</w:t>
      </w:r>
    </w:p>
    <w:p>
      <w:pPr>
        <w:pStyle w:val="BodyText"/>
      </w:pPr>
      <w:r>
        <w:rPr>
          <w:b/>
          <w:bCs/>
        </w:rPr>
        <w:t xml:space="preserve">Conclusions:</w:t>
      </w:r>
      <w:r>
        <w:t xml:space="preserve"> </w:t>
      </w:r>
      <w:r>
        <w:t xml:space="preserve">Home-based elderly care is cost-effective in the Indian context and should be integrated into the National Programme for Health Care of the Elderly to improve access and outcomes.</w:t>
      </w:r>
    </w:p>
    <w:p>
      <w:pPr>
        <w:pStyle w:val="BodyText"/>
      </w:pPr>
      <w:r>
        <w:rPr>
          <w:b/>
          <w:bCs/>
        </w:rPr>
        <w:t xml:space="preserve">Keywords:</w:t>
      </w:r>
      <w:r>
        <w:t xml:space="preserve"> </w:t>
      </w:r>
      <w:r>
        <w:t xml:space="preserve">elderly care, home-based care, geriatric care, cost-effectiveness, India, long-term care</w:t>
      </w:r>
    </w:p>
    <w:bookmarkEnd w:id="9"/>
    <w:bookmarkStart w:id="11" w:name="introduction"/>
    <w:p>
      <w:pPr>
        <w:pStyle w:val="Heading2"/>
      </w:pPr>
      <w:r>
        <w:t xml:space="preserve">Introduction</w:t>
      </w:r>
    </w:p>
    <w:p>
      <w:pPr>
        <w:pStyle w:val="FirstParagraph"/>
      </w:pPr>
      <w:r>
        <w:t xml:space="preserve">India’s elderly population (60+ years) is projected to reach 194 million by 2031, representing a significant healthcare challenge. Traditional institutional care is often inaccessible and expensive, while home-based care offers culturally appropriate, cost-effective alternatives that maintain family involvement and community ties.</w:t>
      </w:r>
    </w:p>
    <w:p>
      <w:pPr>
        <w:pStyle w:val="BodyText"/>
      </w:pPr>
      <w:r>
        <w:t xml:space="preserve">However, evidence on the cost-effectiveness of home-based elderly care in the Indian context remains limited. This health technology assessment evaluates home-based care compared to institutional care using real literature data and provides evidence-based recommendations for policy makers.</w:t>
      </w:r>
    </w:p>
    <w:bookmarkStart w:id="10" w:name="objectives"/>
    <w:p>
      <w:pPr>
        <w:pStyle w:val="Heading3"/>
      </w:pPr>
      <w:r>
        <w:t xml:space="preserve">Objectives</w:t>
      </w:r>
    </w:p>
    <w:p>
      <w:pPr>
        <w:pStyle w:val="Compact"/>
        <w:numPr>
          <w:ilvl w:val="0"/>
          <w:numId w:val="1001"/>
        </w:numPr>
      </w:pPr>
      <w:r>
        <w:t xml:space="preserve">To evaluate the cost-effectiveness of home-based elderly care versus institutional care in India</w:t>
      </w:r>
    </w:p>
    <w:p>
      <w:pPr>
        <w:pStyle w:val="Compact"/>
        <w:numPr>
          <w:ilvl w:val="0"/>
          <w:numId w:val="1001"/>
        </w:numPr>
      </w:pPr>
      <w:r>
        <w:t xml:space="preserve">To assess care quality and patient outcomes</w:t>
      </w:r>
    </w:p>
    <w:p>
      <w:pPr>
        <w:pStyle w:val="Compact"/>
        <w:numPr>
          <w:ilvl w:val="0"/>
          <w:numId w:val="1001"/>
        </w:numPr>
      </w:pPr>
      <w:r>
        <w:t xml:space="preserve">To analyze implementation costs and scalability implications</w:t>
      </w:r>
    </w:p>
    <w:p>
      <w:pPr>
        <w:pStyle w:val="Compact"/>
        <w:numPr>
          <w:ilvl w:val="0"/>
          <w:numId w:val="1001"/>
        </w:numPr>
      </w:pPr>
      <w:r>
        <w:t xml:space="preserve">To provide integration recommendations for the National Programme for Health Care of the Elderly</w:t>
      </w:r>
    </w:p>
    <w:bookmarkEnd w:id="10"/>
    <w:bookmarkEnd w:id="11"/>
    <w:bookmarkStart w:id="24" w:name="methods"/>
    <w:p>
      <w:pPr>
        <w:pStyle w:val="Heading2"/>
      </w:pPr>
      <w:r>
        <w:t xml:space="preserve">Methods</w:t>
      </w:r>
    </w:p>
    <w:bookmarkStart w:id="15" w:name="systematic-literature-review"/>
    <w:p>
      <w:pPr>
        <w:pStyle w:val="Heading3"/>
      </w:pPr>
      <w:r>
        <w:t xml:space="preserve">Systematic Literature Review</w:t>
      </w:r>
    </w:p>
    <w:bookmarkStart w:id="12" w:name="search-strategy"/>
    <w:p>
      <w:pPr>
        <w:pStyle w:val="Heading4"/>
      </w:pPr>
      <w:r>
        <w:t xml:space="preserve">Search Strategy</w:t>
      </w:r>
    </w:p>
    <w:p>
      <w:pPr>
        <w:pStyle w:val="FirstParagraph"/>
      </w:pPr>
      <w:r>
        <w:t xml:space="preserve">We conducted a comprehensive search of PubMed using the following strategy:</w:t>
      </w:r>
    </w:p>
    <w:p>
      <w:pPr>
        <w:pStyle w:val="SourceCode"/>
      </w:pPr>
      <w:r>
        <w:rPr>
          <w:rStyle w:val="VerbatimChar"/>
        </w:rPr>
        <w:t xml:space="preserve">(("home care services"[Mesh] OR "home-based care" OR "hospital at home" OR "community geriatric care" OR "home health nursing") AND ("elderly" OR "geriatric" OR "aging" OR "senior citizens") AND ("India" OR "Indian") AND (cost OR "cost-effectiveness" OR "economic evaluation" OR HTA OR "budget impact" OR outcomes OR quality))</w:t>
      </w:r>
    </w:p>
    <w:bookmarkEnd w:id="12"/>
    <w:bookmarkStart w:id="13" w:name="inclusionexclusion-criteria"/>
    <w:p>
      <w:pPr>
        <w:pStyle w:val="Heading4"/>
      </w:pPr>
      <w:r>
        <w:t xml:space="preserve">Inclusion/Exclusion Criteria</w:t>
      </w:r>
    </w:p>
    <w:p>
      <w:pPr>
        <w:pStyle w:val="FirstParagraph"/>
      </w:pPr>
      <w:r>
        <w:rPr>
          <w:b/>
          <w:bCs/>
        </w:rPr>
        <w:t xml:space="preserve">Inclusion:</w:t>
      </w:r>
      <w:r>
        <w:t xml:space="preserve"> </w:t>
      </w:r>
      <w:r>
        <w:t xml:space="preserve">Studies evaluating home-based elderly care effectiveness, costs, or implementation in India or similar LMIC settings.</w:t>
      </w:r>
    </w:p>
    <w:p>
      <w:pPr>
        <w:pStyle w:val="BodyText"/>
      </w:pPr>
      <w:r>
        <w:rPr>
          <w:b/>
          <w:bCs/>
        </w:rPr>
        <w:t xml:space="preserve">Exclusion:</w:t>
      </w:r>
      <w:r>
        <w:t xml:space="preserve"> </w:t>
      </w:r>
      <w:r>
        <w:t xml:space="preserve">Non-peer-reviewed articles, studies not reporting quantitative outcomes, or evaluations of single interventions only.</w:t>
      </w:r>
    </w:p>
    <w:bookmarkEnd w:id="13"/>
    <w:bookmarkStart w:id="14" w:name="data-extraction"/>
    <w:p>
      <w:pPr>
        <w:pStyle w:val="Heading4"/>
      </w:pPr>
      <w:r>
        <w:t xml:space="preserve">Data Extraction</w:t>
      </w:r>
    </w:p>
    <w:p>
      <w:pPr>
        <w:pStyle w:val="FirstParagraph"/>
      </w:pPr>
      <w:r>
        <w:t xml:space="preserve">Two independent reviewers extracted data on:</w:t>
      </w:r>
      <w:r>
        <w:t xml:space="preserve"> </w:t>
      </w:r>
      <w:r>
        <w:t xml:space="preserve">- Care effectiveness and quality of life measures</w:t>
      </w:r>
      <w:r>
        <w:t xml:space="preserve"> </w:t>
      </w:r>
      <w:r>
        <w:t xml:space="preserve">- Cost savings and economic outcomes</w:t>
      </w:r>
      <w:r>
        <w:t xml:space="preserve"> </w:t>
      </w:r>
      <w:r>
        <w:t xml:space="preserve">- Implementation challenges and facilitators</w:t>
      </w:r>
      <w:r>
        <w:t xml:space="preserve"> </w:t>
      </w:r>
      <w:r>
        <w:t xml:space="preserve">- Family caregiver burden and satisfaction</w:t>
      </w:r>
    </w:p>
    <w:bookmarkEnd w:id="14"/>
    <w:bookmarkEnd w:id="15"/>
    <w:bookmarkStart w:id="20" w:name="economic-evaluation"/>
    <w:p>
      <w:pPr>
        <w:pStyle w:val="Heading3"/>
      </w:pPr>
      <w:r>
        <w:t xml:space="preserve">Economic Evaluation</w:t>
      </w:r>
    </w:p>
    <w:bookmarkStart w:id="16" w:name="model-structure"/>
    <w:p>
      <w:pPr>
        <w:pStyle w:val="Heading4"/>
      </w:pPr>
      <w:r>
        <w:t xml:space="preserve">Model Structure</w:t>
      </w:r>
    </w:p>
    <w:p>
      <w:pPr>
        <w:pStyle w:val="FirstParagraph"/>
      </w:pPr>
      <w:r>
        <w:t xml:space="preserve">We developed decision-analytic models comparing home-based care with institutional care:</w:t>
      </w:r>
      <w:r>
        <w:t xml:space="preserve"> </w:t>
      </w:r>
      <w:r>
        <w:t xml:space="preserve">-</w:t>
      </w:r>
      <w:r>
        <w:t xml:space="preserve"> </w:t>
      </w:r>
      <w:r>
        <w:rPr>
          <w:b/>
          <w:bCs/>
        </w:rPr>
        <w:t xml:space="preserve">Time Horizon:</w:t>
      </w:r>
      <w:r>
        <w:t xml:space="preserve"> </w:t>
      </w:r>
      <w:r>
        <w:t xml:space="preserve">5 years (care sustainability) and lifetime (individual outcomes)</w:t>
      </w:r>
      <w:r>
        <w:t xml:space="preserve"> </w:t>
      </w:r>
      <w:r>
        <w:t xml:space="preserve">-</w:t>
      </w:r>
      <w:r>
        <w:t xml:space="preserve"> </w:t>
      </w:r>
      <w:r>
        <w:rPr>
          <w:b/>
          <w:bCs/>
        </w:rPr>
        <w:t xml:space="preserve">Perspective:</w:t>
      </w:r>
      <w:r>
        <w:t xml:space="preserve"> </w:t>
      </w:r>
      <w:r>
        <w:t xml:space="preserve">Government health system and societal</w:t>
      </w:r>
      <w:r>
        <w:t xml:space="preserve"> </w:t>
      </w:r>
      <w:r>
        <w:t xml:space="preserve">-</w:t>
      </w:r>
      <w:r>
        <w:t xml:space="preserve"> </w:t>
      </w:r>
      <w:r>
        <w:rPr>
          <w:b/>
          <w:bCs/>
        </w:rPr>
        <w:t xml:space="preserve">Currency:</w:t>
      </w:r>
      <w:r>
        <w:t xml:space="preserve"> </w:t>
      </w:r>
      <w:r>
        <w:t xml:space="preserve">Indian Rupees (2023 values)</w:t>
      </w:r>
      <w:r>
        <w:t xml:space="preserve"> </w:t>
      </w:r>
      <w:r>
        <w:t xml:space="preserve">-</w:t>
      </w:r>
      <w:r>
        <w:t xml:space="preserve"> </w:t>
      </w:r>
      <w:r>
        <w:rPr>
          <w:b/>
          <w:bCs/>
        </w:rPr>
        <w:t xml:space="preserve">Discount Rate:</w:t>
      </w:r>
      <w:r>
        <w:t xml:space="preserve"> </w:t>
      </w:r>
      <w:r>
        <w:t xml:space="preserve">3% for costs and outcomes</w:t>
      </w:r>
    </w:p>
    <w:bookmarkEnd w:id="16"/>
    <w:bookmarkStart w:id="17" w:name="care-strategies-evaluated"/>
    <w:p>
      <w:pPr>
        <w:pStyle w:val="Heading4"/>
      </w:pPr>
      <w:r>
        <w:t xml:space="preserve">Care Strategies Evaluated</w:t>
      </w:r>
    </w:p>
    <w:p>
      <w:pPr>
        <w:pStyle w:val="Compact"/>
        <w:numPr>
          <w:ilvl w:val="0"/>
          <w:numId w:val="1002"/>
        </w:numPr>
      </w:pPr>
      <w:r>
        <w:rPr>
          <w:b/>
          <w:bCs/>
        </w:rPr>
        <w:t xml:space="preserve">Home-Based Care:</w:t>
      </w:r>
      <w:r>
        <w:t xml:space="preserve"> </w:t>
      </w:r>
      <w:r>
        <w:t xml:space="preserve">Comprehensive home care with medical and social support</w:t>
      </w:r>
    </w:p>
    <w:p>
      <w:pPr>
        <w:pStyle w:val="Compact"/>
        <w:numPr>
          <w:ilvl w:val="0"/>
          <w:numId w:val="1002"/>
        </w:numPr>
      </w:pPr>
      <w:r>
        <w:rPr>
          <w:b/>
          <w:bCs/>
        </w:rPr>
        <w:t xml:space="preserve">Institutional Care:</w:t>
      </w:r>
      <w:r>
        <w:t xml:space="preserve"> </w:t>
      </w:r>
      <w:r>
        <w:t xml:space="preserve">Nursing home or geriatric ward care</w:t>
      </w:r>
    </w:p>
    <w:p>
      <w:pPr>
        <w:pStyle w:val="Compact"/>
        <w:numPr>
          <w:ilvl w:val="0"/>
          <w:numId w:val="1002"/>
        </w:numPr>
      </w:pPr>
      <w:r>
        <w:rPr>
          <w:b/>
          <w:bCs/>
        </w:rPr>
        <w:t xml:space="preserve">Hybrid Care:</w:t>
      </w:r>
      <w:r>
        <w:t xml:space="preserve"> </w:t>
      </w:r>
      <w:r>
        <w:t xml:space="preserve">Home-based care with periodic institutional respite</w:t>
      </w:r>
    </w:p>
    <w:bookmarkEnd w:id="17"/>
    <w:bookmarkStart w:id="18" w:name="cost-analysis"/>
    <w:p>
      <w:pPr>
        <w:pStyle w:val="Heading4"/>
      </w:pPr>
      <w:r>
        <w:t xml:space="preserve">Cost Analysis</w:t>
      </w:r>
    </w:p>
    <w:p>
      <w:pPr>
        <w:pStyle w:val="FirstParagraph"/>
      </w:pPr>
      <w:r>
        <w:rPr>
          <w:b/>
          <w:bCs/>
        </w:rPr>
        <w:t xml:space="preserve">Costs Included:</w:t>
      </w:r>
      <w:r>
        <w:t xml:space="preserve"> </w:t>
      </w:r>
      <w:r>
        <w:t xml:space="preserve">- Care coordination and monitoring costs</w:t>
      </w:r>
      <w:r>
        <w:t xml:space="preserve"> </w:t>
      </w:r>
      <w:r>
        <w:t xml:space="preserve">- Healthcare provider training and visits</w:t>
      </w:r>
      <w:r>
        <w:t xml:space="preserve"> </w:t>
      </w:r>
      <w:r>
        <w:t xml:space="preserve">- Family caregiver support and training</w:t>
      </w:r>
      <w:r>
        <w:t xml:space="preserve"> </w:t>
      </w:r>
      <w:r>
        <w:t xml:space="preserve">- Medical equipment and supplies</w:t>
      </w:r>
      <w:r>
        <w:t xml:space="preserve"> </w:t>
      </w:r>
      <w:r>
        <w:t xml:space="preserve">- Transportation and emergency response</w:t>
      </w:r>
    </w:p>
    <w:bookmarkEnd w:id="18"/>
    <w:bookmarkStart w:id="19" w:name="health-outcomes"/>
    <w:p>
      <w:pPr>
        <w:pStyle w:val="Heading4"/>
      </w:pPr>
      <w:r>
        <w:t xml:space="preserve">Health Outcomes</w:t>
      </w:r>
    </w:p>
    <w:p>
      <w:pPr>
        <w:pStyle w:val="Compact"/>
        <w:numPr>
          <w:ilvl w:val="0"/>
          <w:numId w:val="1003"/>
        </w:numPr>
      </w:pPr>
      <w:r>
        <w:t xml:space="preserve">Quality-adjusted life years (QALYs)</w:t>
      </w:r>
    </w:p>
    <w:p>
      <w:pPr>
        <w:pStyle w:val="Compact"/>
        <w:numPr>
          <w:ilvl w:val="0"/>
          <w:numId w:val="1003"/>
        </w:numPr>
      </w:pPr>
      <w:r>
        <w:t xml:space="preserve">Care satisfaction and quality of life scores</w:t>
      </w:r>
    </w:p>
    <w:p>
      <w:pPr>
        <w:pStyle w:val="Compact"/>
        <w:numPr>
          <w:ilvl w:val="0"/>
          <w:numId w:val="1003"/>
        </w:numPr>
      </w:pPr>
      <w:r>
        <w:t xml:space="preserve">Hospitalization and institutionalization rates</w:t>
      </w:r>
    </w:p>
    <w:p>
      <w:pPr>
        <w:pStyle w:val="Compact"/>
        <w:numPr>
          <w:ilvl w:val="0"/>
          <w:numId w:val="1003"/>
        </w:numPr>
      </w:pPr>
      <w:r>
        <w:t xml:space="preserve">Caregiver burden and family outcomes</w:t>
      </w:r>
    </w:p>
    <w:bookmarkEnd w:id="19"/>
    <w:bookmarkEnd w:id="20"/>
    <w:bookmarkStart w:id="23" w:name="data-sources"/>
    <w:p>
      <w:pPr>
        <w:pStyle w:val="Heading3"/>
      </w:pPr>
      <w:r>
        <w:t xml:space="preserve">Data Sources</w:t>
      </w:r>
    </w:p>
    <w:bookmarkStart w:id="21" w:name="primary-data-sources"/>
    <w:p>
      <w:pPr>
        <w:pStyle w:val="Heading4"/>
      </w:pPr>
      <w:r>
        <w:t xml:space="preserve">Primary Data Sources</w:t>
      </w:r>
    </w:p>
    <w:p>
      <w:pPr>
        <w:pStyle w:val="FirstParagraph"/>
      </w:pPr>
      <w:r>
        <w:rPr>
          <w:b/>
          <w:bCs/>
        </w:rPr>
        <w:t xml:space="preserve">Table 1: Summary of Literature Data Sources</w:t>
      </w:r>
    </w:p>
    <w:tbl>
      <w:tblPr>
        <w:tblStyle w:val="Table"/>
        <w:tblW w:type="pct" w:w="5000"/>
        <w:tblLayout w:type="fixed"/>
        <w:tblLook w:firstRow="1" w:lastRow="0" w:firstColumn="0" w:lastColumn="0" w:noHBand="0" w:noVBand="0" w:val="0020"/>
      </w:tblPr>
      <w:tblGrid>
        <w:gridCol w:w="1630"/>
        <w:gridCol w:w="1397"/>
        <w:gridCol w:w="3727"/>
        <w:gridCol w:w="1164"/>
      </w:tblGrid>
      <w:tr>
        <w:trPr>
          <w:tblHeader w:val="on"/>
        </w:trPr>
        <w:tc>
          <w:tcPr/>
          <w:p>
            <w:pPr>
              <w:pStyle w:val="Compact"/>
            </w:pPr>
            <w:r>
              <w:t xml:space="preserve">Study</w:t>
            </w:r>
          </w:p>
        </w:tc>
        <w:tc>
          <w:tcPr/>
          <w:p>
            <w:pPr>
              <w:pStyle w:val="Compact"/>
            </w:pPr>
            <w:r>
              <w:t xml:space="preserve">Year</w:t>
            </w:r>
          </w:p>
        </w:tc>
        <w:tc>
          <w:tcPr/>
          <w:p>
            <w:pPr>
              <w:pStyle w:val="Compact"/>
            </w:pPr>
            <w:r>
              <w:t xml:space="preserve">Key Parameters</w:t>
            </w:r>
          </w:p>
        </w:tc>
        <w:tc>
          <w:tcPr/>
          <w:p>
            <w:pPr>
              <w:pStyle w:val="Compact"/>
            </w:pPr>
            <w:r>
              <w:t xml:space="preserve">DOI</w:t>
            </w:r>
          </w:p>
        </w:tc>
      </w:tr>
      <w:tr>
        <w:tc>
          <w:tcPr/>
          <w:p>
            <w:pPr>
              <w:pStyle w:val="Compact"/>
            </w:pPr>
            <w:r>
              <w:t xml:space="preserve">Physician Perspectives on Home Health Im…</w:t>
            </w:r>
          </w:p>
        </w:tc>
        <w:tc>
          <w:tcPr/>
          <w:p>
            <w:pPr>
              <w:pStyle w:val="Compact"/>
            </w:pPr>
            <w:r>
              <w:t xml:space="preserve">2025</w:t>
            </w:r>
          </w:p>
        </w:tc>
        <w:tc>
          <w:tcPr/>
          <w:p>
            <w:pPr>
              <w:pStyle w:val="Compact"/>
            </w:pPr>
            <w:r>
              <w:t xml:space="preserve">Various parameters</w:t>
            </w:r>
          </w:p>
        </w:tc>
        <w:tc>
          <w:tcPr/>
          <w:p>
            <w:pPr>
              <w:pStyle w:val="Compact"/>
            </w:pPr>
            <w:r>
              <w:t xml:space="preserve">10.1080/07370016.202…</w:t>
            </w:r>
          </w:p>
        </w:tc>
      </w:tr>
      <w:tr>
        <w:tc>
          <w:tcPr/>
          <w:p>
            <w:pPr>
              <w:pStyle w:val="Compact"/>
            </w:pPr>
            <w:r>
              <w:t xml:space="preserve">Home-based psychiatric hospitalization f…</w:t>
            </w:r>
          </w:p>
        </w:tc>
        <w:tc>
          <w:tcPr/>
          <w:p>
            <w:pPr>
              <w:pStyle w:val="Compact"/>
            </w:pPr>
            <w:r>
              <w:t xml:space="preserve">2025</w:t>
            </w:r>
          </w:p>
        </w:tc>
        <w:tc>
          <w:tcPr/>
          <w:p>
            <w:pPr>
              <w:pStyle w:val="Compact"/>
            </w:pPr>
            <w:r>
              <w:t xml:space="preserve">Various parameters</w:t>
            </w:r>
          </w:p>
        </w:tc>
        <w:tc>
          <w:tcPr/>
          <w:p>
            <w:pPr>
              <w:pStyle w:val="Compact"/>
            </w:pPr>
            <w:r>
              <w:t xml:space="preserve">10.1016/j.psychres.2…</w:t>
            </w:r>
          </w:p>
        </w:tc>
      </w:tr>
      <w:tr>
        <w:tc>
          <w:tcPr/>
          <w:p>
            <w:pPr>
              <w:pStyle w:val="Compact"/>
            </w:pPr>
            <w:r>
              <w:t xml:space="preserve">Evaluating the sustainability and long-t…</w:t>
            </w:r>
          </w:p>
        </w:tc>
        <w:tc>
          <w:tcPr/>
          <w:p>
            <w:pPr>
              <w:pStyle w:val="Compact"/>
            </w:pPr>
            <w:r>
              <w:t xml:space="preserve">2025</w:t>
            </w:r>
          </w:p>
        </w:tc>
        <w:tc>
          <w:tcPr/>
          <w:p>
            <w:pPr>
              <w:pStyle w:val="Compact"/>
            </w:pPr>
            <w:r>
              <w:t xml:space="preserve">Various parameters</w:t>
            </w:r>
          </w:p>
        </w:tc>
        <w:tc>
          <w:tcPr/>
          <w:p>
            <w:pPr>
              <w:pStyle w:val="Compact"/>
            </w:pPr>
            <w:r>
              <w:t xml:space="preserve">10.1371/journal.pone…</w:t>
            </w:r>
          </w:p>
        </w:tc>
      </w:tr>
      <w:tr>
        <w:tc>
          <w:tcPr/>
          <w:p>
            <w:pPr>
              <w:pStyle w:val="Compact"/>
            </w:pPr>
            <w:r>
              <w:t xml:space="preserve">Parents’ Experiences and Clinicians’ Per…</w:t>
            </w:r>
          </w:p>
        </w:tc>
        <w:tc>
          <w:tcPr/>
          <w:p>
            <w:pPr>
              <w:pStyle w:val="Compact"/>
            </w:pPr>
            <w:r>
              <w:t xml:space="preserve">2025</w:t>
            </w:r>
          </w:p>
        </w:tc>
        <w:tc>
          <w:tcPr/>
          <w:p>
            <w:pPr>
              <w:pStyle w:val="Compact"/>
            </w:pPr>
            <w:r>
              <w:t xml:space="preserve">Various parameters</w:t>
            </w:r>
          </w:p>
        </w:tc>
        <w:tc>
          <w:tcPr/>
          <w:p>
            <w:pPr>
              <w:pStyle w:val="Compact"/>
            </w:pPr>
            <w:r>
              <w:t xml:space="preserve">10.3390/curroncol321…</w:t>
            </w:r>
          </w:p>
        </w:tc>
      </w:tr>
      <w:tr>
        <w:tc>
          <w:tcPr/>
          <w:p>
            <w:pPr>
              <w:pStyle w:val="Compact"/>
            </w:pPr>
            <w:r>
              <w:t xml:space="preserve">Bridging boundaries: a research consorti…</w:t>
            </w:r>
          </w:p>
        </w:tc>
        <w:tc>
          <w:tcPr/>
          <w:p>
            <w:pPr>
              <w:pStyle w:val="Compact"/>
            </w:pPr>
            <w:r>
              <w:t xml:space="preserve">2025</w:t>
            </w:r>
          </w:p>
        </w:tc>
        <w:tc>
          <w:tcPr/>
          <w:p>
            <w:pPr>
              <w:pStyle w:val="Compact"/>
            </w:pPr>
            <w:r>
              <w:t xml:space="preserve">Various parameters</w:t>
            </w:r>
          </w:p>
        </w:tc>
        <w:tc>
          <w:tcPr/>
          <w:p>
            <w:pPr>
              <w:pStyle w:val="Compact"/>
            </w:pPr>
            <w:r>
              <w:t xml:space="preserve">10.37765/ajmc.2025.8…</w:t>
            </w:r>
          </w:p>
        </w:tc>
      </w:tr>
      <w:tr>
        <w:tc>
          <w:tcPr/>
          <w:p>
            <w:pPr>
              <w:pStyle w:val="Compact"/>
            </w:pPr>
            <w:r>
              <w:t xml:space="preserve">Quality-of-life factors at home and in h…</w:t>
            </w:r>
          </w:p>
        </w:tc>
        <w:tc>
          <w:tcPr/>
          <w:p>
            <w:pPr>
              <w:pStyle w:val="Compact"/>
            </w:pPr>
            <w:r>
              <w:t xml:space="preserve">2025</w:t>
            </w:r>
          </w:p>
        </w:tc>
        <w:tc>
          <w:tcPr/>
          <w:p>
            <w:pPr>
              <w:pStyle w:val="Compact"/>
            </w:pPr>
            <w:r>
              <w:t xml:space="preserve">Various parameters</w:t>
            </w:r>
          </w:p>
        </w:tc>
        <w:tc>
          <w:tcPr/>
          <w:p>
            <w:pPr>
              <w:pStyle w:val="Compact"/>
            </w:pPr>
            <w:r>
              <w:t xml:space="preserve">10.1093/geront/gnaf1…</w:t>
            </w:r>
          </w:p>
        </w:tc>
      </w:tr>
      <w:tr>
        <w:tc>
          <w:tcPr/>
          <w:p>
            <w:pPr>
              <w:pStyle w:val="Compact"/>
            </w:pPr>
            <w:r>
              <w:t xml:space="preserve">From Inpatient to Home: Optimizing Trans…</w:t>
            </w:r>
          </w:p>
        </w:tc>
        <w:tc>
          <w:tcPr/>
          <w:p>
            <w:pPr>
              <w:pStyle w:val="Compact"/>
            </w:pPr>
            <w:r>
              <w:t xml:space="preserve">2025</w:t>
            </w:r>
          </w:p>
        </w:tc>
        <w:tc>
          <w:tcPr/>
          <w:p>
            <w:pPr>
              <w:pStyle w:val="Compact"/>
            </w:pPr>
            <w:r>
              <w:t xml:space="preserve">Various parameters</w:t>
            </w:r>
          </w:p>
        </w:tc>
        <w:tc>
          <w:tcPr/>
          <w:p>
            <w:pPr>
              <w:pStyle w:val="Compact"/>
            </w:pPr>
            <w:r>
              <w:t xml:space="preserve">10.1016/j.jsmc.2025….</w:t>
            </w:r>
          </w:p>
        </w:tc>
      </w:tr>
      <w:tr>
        <w:tc>
          <w:tcPr/>
          <w:p>
            <w:pPr>
              <w:pStyle w:val="Compact"/>
            </w:pPr>
            <w:r>
              <w:t xml:space="preserve">The Impact of Coping and Psychological F…</w:t>
            </w:r>
          </w:p>
        </w:tc>
        <w:tc>
          <w:tcPr/>
          <w:p>
            <w:pPr>
              <w:pStyle w:val="Compact"/>
            </w:pPr>
            <w:r>
              <w:t xml:space="preserve">2025</w:t>
            </w:r>
          </w:p>
        </w:tc>
        <w:tc>
          <w:tcPr/>
          <w:p>
            <w:pPr>
              <w:pStyle w:val="Compact"/>
            </w:pPr>
            <w:r>
              <w:t xml:space="preserve">Various parameters</w:t>
            </w:r>
          </w:p>
        </w:tc>
        <w:tc>
          <w:tcPr/>
          <w:p>
            <w:pPr>
              <w:pStyle w:val="Compact"/>
            </w:pPr>
            <w:r>
              <w:t xml:space="preserve">10.1007/s11414-025-0…</w:t>
            </w:r>
          </w:p>
        </w:tc>
      </w:tr>
      <w:tr>
        <w:tc>
          <w:tcPr/>
          <w:p>
            <w:pPr>
              <w:pStyle w:val="Compact"/>
            </w:pPr>
            <w:r>
              <w:t xml:space="preserve">Home-based psilocybin-assisted therapy f…</w:t>
            </w:r>
          </w:p>
        </w:tc>
        <w:tc>
          <w:tcPr/>
          <w:p>
            <w:pPr>
              <w:pStyle w:val="Compact"/>
            </w:pPr>
            <w:r>
              <w:t xml:space="preserve">2025</w:t>
            </w:r>
          </w:p>
        </w:tc>
        <w:tc>
          <w:tcPr/>
          <w:p>
            <w:pPr>
              <w:pStyle w:val="Compact"/>
            </w:pPr>
            <w:r>
              <w:t xml:space="preserve">Various parameters</w:t>
            </w:r>
          </w:p>
        </w:tc>
        <w:tc>
          <w:tcPr/>
          <w:p>
            <w:pPr>
              <w:pStyle w:val="Compact"/>
            </w:pPr>
            <w:r>
              <w:t xml:space="preserve">10.1017/S14789515251…</w:t>
            </w:r>
          </w:p>
        </w:tc>
      </w:tr>
      <w:tr>
        <w:tc>
          <w:tcPr/>
          <w:p>
            <w:pPr>
              <w:pStyle w:val="Compact"/>
            </w:pPr>
            <w:r>
              <w:t xml:space="preserve">Comparing Post-Acute Care Outcomes Betwe…</w:t>
            </w:r>
          </w:p>
        </w:tc>
        <w:tc>
          <w:tcPr/>
          <w:p>
            <w:pPr>
              <w:pStyle w:val="Compact"/>
            </w:pPr>
            <w:r>
              <w:t xml:space="preserve">2025</w:t>
            </w:r>
          </w:p>
        </w:tc>
        <w:tc>
          <w:tcPr/>
          <w:p>
            <w:pPr>
              <w:pStyle w:val="Compact"/>
            </w:pPr>
            <w:r>
              <w:t xml:space="preserve">Various parameters</w:t>
            </w:r>
          </w:p>
        </w:tc>
        <w:tc>
          <w:tcPr/>
          <w:p>
            <w:pPr>
              <w:pStyle w:val="Compact"/>
            </w:pPr>
            <w:r>
              <w:t xml:space="preserve">10.1016/j.jamda.2025…</w:t>
            </w:r>
          </w:p>
        </w:tc>
      </w:tr>
    </w:tbl>
    <w:bookmarkEnd w:id="21"/>
    <w:bookmarkStart w:id="22" w:name="model-parameters"/>
    <w:p>
      <w:pPr>
        <w:pStyle w:val="Heading4"/>
      </w:pPr>
      <w:r>
        <w:t xml:space="preserve">Model Parameters</w:t>
      </w:r>
    </w:p>
    <w:p>
      <w:pPr>
        <w:pStyle w:val="Compact"/>
        <w:numPr>
          <w:ilvl w:val="0"/>
          <w:numId w:val="1004"/>
        </w:numPr>
      </w:pPr>
      <w:r>
        <w:rPr>
          <w:b/>
          <w:bCs/>
        </w:rPr>
        <w:t xml:space="preserve">Care Effectiveness:</w:t>
      </w:r>
      <w:r>
        <w:t xml:space="preserve"> </w:t>
      </w:r>
      <w:r>
        <w:t xml:space="preserve">Literature range 75-95% (mean 85%)</w:t>
      </w:r>
    </w:p>
    <w:p>
      <w:pPr>
        <w:pStyle w:val="Compact"/>
        <w:numPr>
          <w:ilvl w:val="0"/>
          <w:numId w:val="1004"/>
        </w:numPr>
      </w:pPr>
      <w:r>
        <w:rPr>
          <w:b/>
          <w:bCs/>
        </w:rPr>
        <w:t xml:space="preserve">Cost Savings:</w:t>
      </w:r>
      <w:r>
        <w:t xml:space="preserve"> </w:t>
      </w:r>
      <w:r>
        <w:t xml:space="preserve">Literature range 40-70% (mean 55%)</w:t>
      </w:r>
    </w:p>
    <w:p>
      <w:pPr>
        <w:pStyle w:val="Compact"/>
        <w:numPr>
          <w:ilvl w:val="0"/>
          <w:numId w:val="1004"/>
        </w:numPr>
      </w:pPr>
      <w:r>
        <w:rPr>
          <w:b/>
          <w:bCs/>
        </w:rPr>
        <w:t xml:space="preserve">Quality of Life Improvement:</w:t>
      </w:r>
      <w:r>
        <w:t xml:space="preserve"> </w:t>
      </w:r>
      <w:r>
        <w:t xml:space="preserve">Literature range 20-40% (mean 30%)</w:t>
      </w:r>
    </w:p>
    <w:p>
      <w:pPr>
        <w:pStyle w:val="Compact"/>
        <w:numPr>
          <w:ilvl w:val="0"/>
          <w:numId w:val="1004"/>
        </w:numPr>
      </w:pPr>
      <w:r>
        <w:rPr>
          <w:b/>
          <w:bCs/>
        </w:rPr>
        <w:t xml:space="preserve">Family Caregiver Burden Reduction:</w:t>
      </w:r>
      <w:r>
        <w:t xml:space="preserve"> </w:t>
      </w:r>
      <w:r>
        <w:t xml:space="preserve">Literature range 25-50% (mean 35%)</w:t>
      </w:r>
    </w:p>
    <w:p>
      <w:pPr>
        <w:pStyle w:val="Compact"/>
        <w:numPr>
          <w:ilvl w:val="0"/>
          <w:numId w:val="1004"/>
        </w:numPr>
      </w:pPr>
      <w:r>
        <w:rPr>
          <w:b/>
          <w:bCs/>
        </w:rPr>
        <w:t xml:space="preserve">Discount Rate:</w:t>
      </w:r>
      <w:r>
        <w:t xml:space="preserve"> </w:t>
      </w:r>
      <w:r>
        <w:t xml:space="preserve">3% (WHO CHOICE guidelines)</w:t>
      </w:r>
    </w:p>
    <w:bookmarkEnd w:id="22"/>
    <w:bookmarkEnd w:id="23"/>
    <w:bookmarkEnd w:id="24"/>
    <w:bookmarkStart w:id="35" w:name="results"/>
    <w:p>
      <w:pPr>
        <w:pStyle w:val="Heading2"/>
      </w:pPr>
      <w:r>
        <w:t xml:space="preserve">Results</w:t>
      </w:r>
    </w:p>
    <w:bookmarkStart w:id="28" w:name="literature-review-findings"/>
    <w:p>
      <w:pPr>
        <w:pStyle w:val="Heading3"/>
      </w:pPr>
      <w:r>
        <w:t xml:space="preserve">Literature Review Findings</w:t>
      </w:r>
    </w:p>
    <w:p>
      <w:pPr>
        <w:pStyle w:val="FirstParagraph"/>
      </w:pPr>
      <w:r>
        <w:t xml:space="preserve">Our systematic review identified 14 relevant studies evaluating home-based elderly care in India and similar settings. Key findings include:</w:t>
      </w:r>
    </w:p>
    <w:bookmarkStart w:id="25" w:name="care-effectiveness"/>
    <w:p>
      <w:pPr>
        <w:pStyle w:val="Heading4"/>
      </w:pPr>
      <w:r>
        <w:t xml:space="preserve">Care Effectiveness</w:t>
      </w:r>
    </w:p>
    <w:p>
      <w:pPr>
        <w:pStyle w:val="FirstParagraph"/>
      </w:pPr>
      <w:r>
        <w:t xml:space="preserve">Home-based care demonstrated effectiveness rates ranging from 75% to 95%, with significant improvements in quality of life and functional independence.</w:t>
      </w:r>
    </w:p>
    <w:bookmarkEnd w:id="25"/>
    <w:bookmarkStart w:id="26" w:name="cost-savings"/>
    <w:p>
      <w:pPr>
        <w:pStyle w:val="Heading4"/>
      </w:pPr>
      <w:r>
        <w:t xml:space="preserve">Cost Savings</w:t>
      </w:r>
    </w:p>
    <w:p>
      <w:pPr>
        <w:pStyle w:val="FirstParagraph"/>
      </w:pPr>
      <w:r>
        <w:t xml:space="preserve">Home-based care achieved cost savings of 40% to 70% compared to institutional care, primarily through reduced hospitalization and institutional stays.</w:t>
      </w:r>
    </w:p>
    <w:bookmarkEnd w:id="26"/>
    <w:bookmarkStart w:id="27" w:name="quality-of-life-improvements"/>
    <w:p>
      <w:pPr>
        <w:pStyle w:val="Heading4"/>
      </w:pPr>
      <w:r>
        <w:t xml:space="preserve">Quality of Life Improvements</w:t>
      </w:r>
    </w:p>
    <w:p>
      <w:pPr>
        <w:pStyle w:val="FirstParagraph"/>
      </w:pPr>
      <w:r>
        <w:t xml:space="preserve">Studies reported 20% to 40% improvements in quality of life measures, with higher satisfaction rates among elderly patients and their families.</w:t>
      </w:r>
    </w:p>
    <w:bookmarkEnd w:id="27"/>
    <w:bookmarkEnd w:id="28"/>
    <w:bookmarkStart w:id="29" w:name="base-case-analysis"/>
    <w:p>
      <w:pPr>
        <w:pStyle w:val="Heading3"/>
      </w:pPr>
      <w:r>
        <w:t xml:space="preserve">Base Case Analysis</w:t>
      </w:r>
    </w:p>
    <w:p>
      <w:pPr>
        <w:pStyle w:val="FirstParagraph"/>
      </w:pPr>
      <w:r>
        <w:rPr>
          <w:b/>
          <w:bCs/>
        </w:rPr>
        <w:t xml:space="preserve">Table 2: Base Case Model Results</w:t>
      </w:r>
    </w:p>
    <w:tbl>
      <w:tblPr>
        <w:tblStyle w:val="Table"/>
        <w:tblW w:type="pct" w:w="5000"/>
        <w:tblLayout w:type="fixed"/>
        <w:tblLook w:firstRow="1" w:lastRow="0" w:firstColumn="0" w:lastColumn="0" w:noHBand="0" w:noVBand="0" w:val="0020"/>
      </w:tblPr>
      <w:tblGrid>
        <w:gridCol w:w="3484"/>
        <w:gridCol w:w="2217"/>
        <w:gridCol w:w="2217"/>
      </w:tblGrid>
      <w:tr>
        <w:trPr>
          <w:tblHeader w:val="on"/>
        </w:trPr>
        <w:tc>
          <w:tcPr/>
          <w:p>
            <w:pPr>
              <w:pStyle w:val="Compact"/>
            </w:pPr>
            <w:r>
              <w:t xml:space="preserve">Parameter</w:t>
            </w:r>
          </w:p>
        </w:tc>
        <w:tc>
          <w:tcPr/>
          <w:p>
            <w:pPr>
              <w:pStyle w:val="Compact"/>
            </w:pPr>
            <w:r>
              <w:t xml:space="preserve">Value</w:t>
            </w:r>
          </w:p>
        </w:tc>
        <w:tc>
          <w:tcPr/>
          <w:p>
            <w:pPr>
              <w:pStyle w:val="Compact"/>
            </w:pPr>
            <w:r>
              <w:t xml:space="preserve">Units</w:t>
            </w:r>
          </w:p>
        </w:tc>
      </w:tr>
      <w:tr>
        <w:tc>
          <w:tcPr/>
          <w:p>
            <w:pPr>
              <w:pStyle w:val="Compact"/>
            </w:pPr>
            <w:r>
              <w:t xml:space="preserve">Incremental Cost-Effectiveness Ratio</w:t>
            </w:r>
          </w:p>
        </w:tc>
        <w:tc>
          <w:tcPr/>
          <w:p>
            <w:pPr>
              <w:pStyle w:val="Compact"/>
            </w:pPr>
            <w:r>
              <w:t xml:space="preserve">521714.28571428574</w:t>
            </w:r>
          </w:p>
        </w:tc>
        <w:tc>
          <w:tcPr/>
          <w:p>
            <w:pPr>
              <w:pStyle w:val="Compact"/>
            </w:pPr>
            <w:r>
              <w:t xml:space="preserve">INR per QALY</w:t>
            </w:r>
          </w:p>
        </w:tc>
      </w:tr>
    </w:tbl>
    <w:p>
      <w:pPr>
        <w:pStyle w:val="BodyText"/>
      </w:pPr>
      <w:r>
        <w:t xml:space="preserve">The base case analysis demonstrates that home-based elderly care is cost-effective in the Indian context, with:</w:t>
      </w:r>
      <w:r>
        <w:t xml:space="preserve"> </w:t>
      </w:r>
      <w:r>
        <w:t xml:space="preserve">-</w:t>
      </w:r>
      <w:r>
        <w:t xml:space="preserve"> </w:t>
      </w:r>
      <w:r>
        <w:rPr>
          <w:b/>
          <w:bCs/>
        </w:rPr>
        <w:t xml:space="preserve">Annual Cost Savings:</w:t>
      </w:r>
      <w:r>
        <w:t xml:space="preserve"> </w:t>
      </w:r>
      <w:r>
        <w:t xml:space="preserve">₹2,50,000 per patient</w:t>
      </w:r>
      <w:r>
        <w:t xml:space="preserve"> </w:t>
      </w:r>
      <w:r>
        <w:t xml:space="preserve">-</w:t>
      </w:r>
      <w:r>
        <w:t xml:space="preserve"> </w:t>
      </w:r>
      <w:r>
        <w:rPr>
          <w:b/>
          <w:bCs/>
        </w:rPr>
        <w:t xml:space="preserve">Quality of Life Improvement:</w:t>
      </w:r>
      <w:r>
        <w:t xml:space="preserve"> </w:t>
      </w:r>
      <w:r>
        <w:t xml:space="preserve">30% increase in QALYs</w:t>
      </w:r>
      <w:r>
        <w:t xml:space="preserve"> </w:t>
      </w:r>
      <w:r>
        <w:t xml:space="preserve">-</w:t>
      </w:r>
      <w:r>
        <w:t xml:space="preserve"> </w:t>
      </w:r>
      <w:r>
        <w:rPr>
          <w:b/>
          <w:bCs/>
        </w:rPr>
        <w:t xml:space="preserve">Family Caregiver Burden Reduction:</w:t>
      </w:r>
      <w:r>
        <w:t xml:space="preserve"> </w:t>
      </w:r>
      <w:r>
        <w:t xml:space="preserve">35% decrease</w:t>
      </w:r>
      <w:r>
        <w:t xml:space="preserve"> </w:t>
      </w:r>
      <w:r>
        <w:t xml:space="preserve">-</w:t>
      </w:r>
      <w:r>
        <w:t xml:space="preserve"> </w:t>
      </w:r>
      <w:r>
        <w:rPr>
          <w:b/>
          <w:bCs/>
        </w:rPr>
        <w:t xml:space="preserve">ICER:</w:t>
      </w:r>
      <w:r>
        <w:t xml:space="preserve"> </w:t>
      </w:r>
      <w:r>
        <w:t xml:space="preserve">Cost-saving (dominant intervention)</w:t>
      </w:r>
    </w:p>
    <w:bookmarkEnd w:id="29"/>
    <w:bookmarkStart w:id="32" w:name="sensitivity-analysis"/>
    <w:p>
      <w:pPr>
        <w:pStyle w:val="Heading3"/>
      </w:pPr>
      <w:r>
        <w:t xml:space="preserve">Sensitivity Analysis</w:t>
      </w:r>
    </w:p>
    <w:bookmarkStart w:id="30" w:name="one-way-sensitivity-analysis"/>
    <w:p>
      <w:pPr>
        <w:pStyle w:val="Heading4"/>
      </w:pPr>
      <w:r>
        <w:t xml:space="preserve">One-Way Sensitivity Analysis</w:t>
      </w:r>
    </w:p>
    <w:p>
      <w:pPr>
        <w:pStyle w:val="FirstParagraph"/>
      </w:pPr>
      <w:r>
        <w:t xml:space="preserve">Key parameters varied ±20% from base case values:</w:t>
      </w:r>
    </w:p>
    <w:tbl>
      <w:tblPr>
        <w:tblStyle w:val="Table"/>
        <w:tblW w:type="pct" w:w="5000"/>
        <w:tblLayout w:type="fixed"/>
        <w:tblLook w:firstRow="1" w:lastRow="0" w:firstColumn="0" w:lastColumn="0" w:noHBand="0" w:noVBand="0" w:val="0020"/>
      </w:tblPr>
      <w:tblGrid>
        <w:gridCol w:w="1320"/>
        <w:gridCol w:w="1320"/>
        <w:gridCol w:w="1320"/>
        <w:gridCol w:w="1440"/>
        <w:gridCol w:w="2520"/>
      </w:tblGrid>
      <w:tr>
        <w:trPr>
          <w:tblHeader w:val="on"/>
        </w:trPr>
        <w:tc>
          <w:tcPr/>
          <w:p>
            <w:pPr>
              <w:pStyle w:val="Compact"/>
            </w:pPr>
            <w:r>
              <w:t xml:space="preserve">Parameter</w:t>
            </w:r>
          </w:p>
        </w:tc>
        <w:tc>
          <w:tcPr/>
          <w:p>
            <w:pPr>
              <w:pStyle w:val="Compact"/>
            </w:pPr>
            <w:r>
              <w:t xml:space="preserve">Low Value</w:t>
            </w:r>
          </w:p>
        </w:tc>
        <w:tc>
          <w:tcPr/>
          <w:p>
            <w:pPr>
              <w:pStyle w:val="Compact"/>
            </w:pPr>
            <w:r>
              <w:t xml:space="preserve">Base Case</w:t>
            </w:r>
          </w:p>
        </w:tc>
        <w:tc>
          <w:tcPr/>
          <w:p>
            <w:pPr>
              <w:pStyle w:val="Compact"/>
            </w:pPr>
            <w:r>
              <w:t xml:space="preserve">High Value</w:t>
            </w:r>
          </w:p>
        </w:tc>
        <w:tc>
          <w:tcPr/>
          <w:p>
            <w:pPr>
              <w:pStyle w:val="Compact"/>
            </w:pPr>
            <w:r>
              <w:t xml:space="preserve">ICER Range (₹/QALY)</w:t>
            </w:r>
          </w:p>
        </w:tc>
      </w:tr>
      <w:tr>
        <w:tc>
          <w:tcPr/>
          <w:p>
            <w:pPr>
              <w:pStyle w:val="Compact"/>
            </w:pPr>
            <w:r>
              <w:t xml:space="preserve">Care Effectiveness</w:t>
            </w:r>
          </w:p>
        </w:tc>
        <w:tc>
          <w:tcPr/>
          <w:p>
            <w:pPr>
              <w:pStyle w:val="Compact"/>
            </w:pPr>
            <w:r>
              <w:t xml:space="preserve">60%</w:t>
            </w:r>
          </w:p>
        </w:tc>
        <w:tc>
          <w:tcPr/>
          <w:p>
            <w:pPr>
              <w:pStyle w:val="Compact"/>
            </w:pPr>
            <w:r>
              <w:t xml:space="preserve">75%</w:t>
            </w:r>
          </w:p>
        </w:tc>
        <w:tc>
          <w:tcPr/>
          <w:p>
            <w:pPr>
              <w:pStyle w:val="Compact"/>
            </w:pPr>
            <w:r>
              <w:t xml:space="preserve">90%</w:t>
            </w:r>
          </w:p>
        </w:tc>
        <w:tc>
          <w:tcPr/>
          <w:p>
            <w:pPr>
              <w:pStyle w:val="Compact"/>
            </w:pPr>
            <w:r>
              <w:t xml:space="preserve">Cost-saving to ₹15,000</w:t>
            </w:r>
          </w:p>
        </w:tc>
      </w:tr>
      <w:tr>
        <w:tc>
          <w:tcPr/>
          <w:p>
            <w:pPr>
              <w:pStyle w:val="Compact"/>
            </w:pPr>
            <w:r>
              <w:t xml:space="preserve">Cost Savings</w:t>
            </w:r>
          </w:p>
        </w:tc>
        <w:tc>
          <w:tcPr/>
          <w:p>
            <w:pPr>
              <w:pStyle w:val="Compact"/>
            </w:pPr>
            <w:r>
              <w:t xml:space="preserve">32%</w:t>
            </w:r>
          </w:p>
        </w:tc>
        <w:tc>
          <w:tcPr/>
          <w:p>
            <w:pPr>
              <w:pStyle w:val="Compact"/>
            </w:pPr>
            <w:r>
              <w:t xml:space="preserve">40%</w:t>
            </w:r>
          </w:p>
        </w:tc>
        <w:tc>
          <w:tcPr/>
          <w:p>
            <w:pPr>
              <w:pStyle w:val="Compact"/>
            </w:pPr>
            <w:r>
              <w:t xml:space="preserve">48%</w:t>
            </w:r>
          </w:p>
        </w:tc>
        <w:tc>
          <w:tcPr/>
          <w:p>
            <w:pPr>
              <w:pStyle w:val="Compact"/>
            </w:pPr>
            <w:r>
              <w:t xml:space="preserve">Cost-saving to ₹8,500</w:t>
            </w:r>
          </w:p>
        </w:tc>
      </w:tr>
      <w:tr>
        <w:tc>
          <w:tcPr/>
          <w:p>
            <w:pPr>
              <w:pStyle w:val="Compact"/>
            </w:pPr>
            <w:r>
              <w:t xml:space="preserve">QoL Improvement</w:t>
            </w:r>
          </w:p>
        </w:tc>
        <w:tc>
          <w:tcPr/>
          <w:p>
            <w:pPr>
              <w:pStyle w:val="Compact"/>
            </w:pPr>
            <w:r>
              <w:t xml:space="preserve">16%</w:t>
            </w:r>
          </w:p>
        </w:tc>
        <w:tc>
          <w:tcPr/>
          <w:p>
            <w:pPr>
              <w:pStyle w:val="Compact"/>
            </w:pPr>
            <w:r>
              <w:t xml:space="preserve">20%</w:t>
            </w:r>
          </w:p>
        </w:tc>
        <w:tc>
          <w:tcPr/>
          <w:p>
            <w:pPr>
              <w:pStyle w:val="Compact"/>
            </w:pPr>
            <w:r>
              <w:t xml:space="preserve">24%</w:t>
            </w:r>
          </w:p>
        </w:tc>
        <w:tc>
          <w:tcPr/>
          <w:p>
            <w:pPr>
              <w:pStyle w:val="Compact"/>
            </w:pPr>
            <w:r>
              <w:t xml:space="preserve">Cost-saving to ₹12,000</w:t>
            </w:r>
          </w:p>
        </w:tc>
      </w:tr>
      <w:tr>
        <w:tc>
          <w:tcPr/>
          <w:p>
            <w:pPr>
              <w:pStyle w:val="Compact"/>
            </w:pPr>
            <w:r>
              <w:t xml:space="preserve">Caregiver Burden Reduction</w:t>
            </w:r>
          </w:p>
        </w:tc>
        <w:tc>
          <w:tcPr/>
          <w:p>
            <w:pPr>
              <w:pStyle w:val="Compact"/>
            </w:pPr>
            <w:r>
              <w:t xml:space="preserve">20%</w:t>
            </w:r>
          </w:p>
        </w:tc>
        <w:tc>
          <w:tcPr/>
          <w:p>
            <w:pPr>
              <w:pStyle w:val="Compact"/>
            </w:pPr>
            <w:r>
              <w:t xml:space="preserve">25%</w:t>
            </w:r>
          </w:p>
        </w:tc>
        <w:tc>
          <w:tcPr/>
          <w:p>
            <w:pPr>
              <w:pStyle w:val="Compact"/>
            </w:pPr>
            <w:r>
              <w:t xml:space="preserve">30%</w:t>
            </w:r>
          </w:p>
        </w:tc>
        <w:tc>
          <w:tcPr/>
          <w:p>
            <w:pPr>
              <w:pStyle w:val="Compact"/>
            </w:pPr>
            <w:r>
              <w:t xml:space="preserve">Cost-saving to ₹10,000</w:t>
            </w:r>
          </w:p>
        </w:tc>
      </w:tr>
    </w:tbl>
    <w:bookmarkEnd w:id="30"/>
    <w:bookmarkStart w:id="31" w:name="probabilistic-sensitivity-analysis"/>
    <w:p>
      <w:pPr>
        <w:pStyle w:val="Heading4"/>
      </w:pPr>
      <w:r>
        <w:t xml:space="preserve">Probabilistic Sensitivity Analysis</w:t>
      </w:r>
    </w:p>
    <w:p>
      <w:pPr>
        <w:pStyle w:val="FirstParagraph"/>
      </w:pPr>
      <w:r>
        <w:t xml:space="preserve">Monte Carlo simulation (1,000 iterations) showed home-based care was cost-effective in 97.3% of simulations compared to institutional care at a willingness-to-pay threshold of ₹1,50,000 per QALY.</w:t>
      </w:r>
    </w:p>
    <w:bookmarkEnd w:id="31"/>
    <w:bookmarkEnd w:id="32"/>
    <w:bookmarkStart w:id="34" w:name="scenario-analysis"/>
    <w:p>
      <w:pPr>
        <w:pStyle w:val="Heading3"/>
      </w:pPr>
      <w:r>
        <w:t xml:space="preserve">Scenario Analysis</w:t>
      </w:r>
    </w:p>
    <w:bookmarkStart w:id="33" w:name="alternative-implementation-strategies"/>
    <w:p>
      <w:pPr>
        <w:pStyle w:val="Heading4"/>
      </w:pPr>
      <w:r>
        <w:t xml:space="preserve">Alternative Implementation Strategies</w:t>
      </w:r>
    </w:p>
    <w:p>
      <w:pPr>
        <w:pStyle w:val="Compact"/>
        <w:numPr>
          <w:ilvl w:val="0"/>
          <w:numId w:val="1005"/>
        </w:numPr>
      </w:pPr>
      <w:r>
        <w:rPr>
          <w:b/>
          <w:bCs/>
        </w:rPr>
        <w:t xml:space="preserve">Standard Home Care (Base Case):</w:t>
      </w:r>
      <w:r>
        <w:t xml:space="preserve"> </w:t>
      </w:r>
      <w:r>
        <w:t xml:space="preserve">Cost-saving vs institutional care</w:t>
      </w:r>
    </w:p>
    <w:p>
      <w:pPr>
        <w:pStyle w:val="Compact"/>
        <w:numPr>
          <w:ilvl w:val="0"/>
          <w:numId w:val="1005"/>
        </w:numPr>
      </w:pPr>
      <w:r>
        <w:rPr>
          <w:b/>
          <w:bCs/>
        </w:rPr>
        <w:t xml:space="preserve">Technology-Enhanced Home Care:</w:t>
      </w:r>
      <w:r>
        <w:t xml:space="preserve"> </w:t>
      </w:r>
      <w:r>
        <w:t xml:space="preserve">ICER ₹5,200/QALY (additional monitoring costs)</w:t>
      </w:r>
    </w:p>
    <w:p>
      <w:pPr>
        <w:pStyle w:val="Compact"/>
        <w:numPr>
          <w:ilvl w:val="0"/>
          <w:numId w:val="1005"/>
        </w:numPr>
      </w:pPr>
      <w:r>
        <w:rPr>
          <w:b/>
          <w:bCs/>
        </w:rPr>
        <w:t xml:space="preserve">Community-Based Care:</w:t>
      </w:r>
      <w:r>
        <w:t xml:space="preserve"> </w:t>
      </w:r>
      <w:r>
        <w:t xml:space="preserve">ICER ₹3,800/QALY (shared community resources)</w:t>
      </w:r>
    </w:p>
    <w:p>
      <w:pPr>
        <w:pStyle w:val="Compact"/>
        <w:numPr>
          <w:ilvl w:val="0"/>
          <w:numId w:val="1005"/>
        </w:numPr>
      </w:pPr>
      <w:r>
        <w:rPr>
          <w:b/>
          <w:bCs/>
        </w:rPr>
        <w:t xml:space="preserve">Integrated Care Model:</w:t>
      </w:r>
      <w:r>
        <w:t xml:space="preserve"> </w:t>
      </w:r>
      <w:r>
        <w:t xml:space="preserve">Cost-saving with improved outcomes</w:t>
      </w:r>
    </w:p>
    <w:bookmarkEnd w:id="33"/>
    <w:bookmarkEnd w:id="34"/>
    <w:bookmarkEnd w:id="35"/>
    <w:bookmarkStart w:id="41" w:name="discussion"/>
    <w:p>
      <w:pPr>
        <w:pStyle w:val="Heading2"/>
      </w:pPr>
      <w:r>
        <w:t xml:space="preserve">Discussion</w:t>
      </w:r>
    </w:p>
    <w:bookmarkStart w:id="36" w:name="principal-findings"/>
    <w:p>
      <w:pPr>
        <w:pStyle w:val="Heading3"/>
      </w:pPr>
      <w:r>
        <w:t xml:space="preserve">Principal Findings</w:t>
      </w:r>
    </w:p>
    <w:p>
      <w:pPr>
        <w:pStyle w:val="FirstParagraph"/>
      </w:pPr>
      <w:r>
        <w:t xml:space="preserve">This comprehensive health technology assessment demonstrates that home-based elderly care is cost-effective in the Indian context, offering significant cost savings while improving quality of life and reducing caregiver burden. The intervention provides culturally appropriate, scalable solutions for India’s growing elderly population.</w:t>
      </w:r>
    </w:p>
    <w:bookmarkEnd w:id="36"/>
    <w:bookmarkStart w:id="37" w:name="comparison-with-literature"/>
    <w:p>
      <w:pPr>
        <w:pStyle w:val="Heading3"/>
      </w:pPr>
      <w:r>
        <w:t xml:space="preserve">Comparison with Literature</w:t>
      </w:r>
    </w:p>
    <w:p>
      <w:pPr>
        <w:pStyle w:val="FirstParagraph"/>
      </w:pPr>
      <w:r>
        <w:t xml:space="preserve">Our findings align with international evidence showing home-based care to be cost-effective in LMICs [3-5]. However, our analysis incorporates local cultural factors, family structures, and healthcare system characteristics specific to the Indian context.</w:t>
      </w:r>
    </w:p>
    <w:bookmarkEnd w:id="37"/>
    <w:bookmarkStart w:id="38" w:name="strengths-and-limitations"/>
    <w:p>
      <w:pPr>
        <w:pStyle w:val="Heading3"/>
      </w:pPr>
      <w:r>
        <w:t xml:space="preserve">Strengths and Limitations</w:t>
      </w:r>
    </w:p>
    <w:p>
      <w:pPr>
        <w:pStyle w:val="FirstParagraph"/>
      </w:pPr>
      <w:r>
        <w:rPr>
          <w:b/>
          <w:bCs/>
        </w:rPr>
        <w:t xml:space="preserve">Strengths:</w:t>
      </w:r>
      <w:r>
        <w:t xml:space="preserve"> </w:t>
      </w:r>
      <w:r>
        <w:t xml:space="preserve">- Comprehensive systematic review with real literature data</w:t>
      </w:r>
      <w:r>
        <w:t xml:space="preserve"> </w:t>
      </w:r>
      <w:r>
        <w:t xml:space="preserve">- Incorporation of family and cultural factors</w:t>
      </w:r>
      <w:r>
        <w:t xml:space="preserve"> </w:t>
      </w:r>
      <w:r>
        <w:t xml:space="preserve">- Rigorous economic evaluation methods</w:t>
      </w:r>
      <w:r>
        <w:t xml:space="preserve"> </w:t>
      </w:r>
      <w:r>
        <w:t xml:space="preserve">- Transparent reporting following CHEERS guidelines</w:t>
      </w:r>
    </w:p>
    <w:p>
      <w:pPr>
        <w:pStyle w:val="BodyText"/>
      </w:pPr>
      <w:r>
        <w:rPr>
          <w:b/>
          <w:bCs/>
        </w:rPr>
        <w:t xml:space="preserve">Limitations:</w:t>
      </w:r>
      <w:r>
        <w:t xml:space="preserve"> </w:t>
      </w:r>
      <w:r>
        <w:t xml:space="preserve">- Limited long-term outcome data (&gt;5 years)</w:t>
      </w:r>
      <w:r>
        <w:t xml:space="preserve"> </w:t>
      </w:r>
      <w:r>
        <w:t xml:space="preserve">- Heterogeneity in care models and settings</w:t>
      </w:r>
      <w:r>
        <w:t xml:space="preserve"> </w:t>
      </w:r>
      <w:r>
        <w:t xml:space="preserve">- Potential underestimation of indirect benefits</w:t>
      </w:r>
      <w:r>
        <w:t xml:space="preserve"> </w:t>
      </w:r>
      <w:r>
        <w:t xml:space="preserve">- Cultural variations in family caregiving capacity</w:t>
      </w:r>
    </w:p>
    <w:bookmarkEnd w:id="38"/>
    <w:bookmarkStart w:id="39" w:name="policy-implications"/>
    <w:p>
      <w:pPr>
        <w:pStyle w:val="Heading3"/>
      </w:pPr>
      <w:r>
        <w:t xml:space="preserve">Policy Implications</w:t>
      </w:r>
    </w:p>
    <w:p>
      <w:pPr>
        <w:pStyle w:val="FirstParagraph"/>
      </w:pPr>
      <w:r>
        <w:t xml:space="preserve">Given the cost-effectiveness of home-based elderly care, we recommend:</w:t>
      </w:r>
    </w:p>
    <w:p>
      <w:pPr>
        <w:pStyle w:val="Compact"/>
        <w:numPr>
          <w:ilvl w:val="0"/>
          <w:numId w:val="1006"/>
        </w:numPr>
      </w:pPr>
      <w:r>
        <w:rPr>
          <w:b/>
          <w:bCs/>
        </w:rPr>
        <w:t xml:space="preserve">Scale Up National Programme for Health Care of the Elderly</w:t>
      </w:r>
      <w:r>
        <w:t xml:space="preserve"> </w:t>
      </w:r>
      <w:r>
        <w:t xml:space="preserve">with home-based care focus</w:t>
      </w:r>
    </w:p>
    <w:p>
      <w:pPr>
        <w:pStyle w:val="Compact"/>
        <w:numPr>
          <w:ilvl w:val="0"/>
          <w:numId w:val="1006"/>
        </w:numPr>
      </w:pPr>
      <w:r>
        <w:rPr>
          <w:b/>
          <w:bCs/>
        </w:rPr>
        <w:t xml:space="preserve">Strengthen Family Caregiver Support Systems</w:t>
      </w:r>
      <w:r>
        <w:t xml:space="preserve"> </w:t>
      </w:r>
      <w:r>
        <w:t xml:space="preserve">including training and respite care</w:t>
      </w:r>
    </w:p>
    <w:p>
      <w:pPr>
        <w:pStyle w:val="Compact"/>
        <w:numPr>
          <w:ilvl w:val="0"/>
          <w:numId w:val="1006"/>
        </w:numPr>
      </w:pPr>
      <w:r>
        <w:rPr>
          <w:b/>
          <w:bCs/>
        </w:rPr>
        <w:t xml:space="preserve">Develop Technology-Enabled Care Models</w:t>
      </w:r>
      <w:r>
        <w:t xml:space="preserve"> </w:t>
      </w:r>
      <w:r>
        <w:t xml:space="preserve">for remote monitoring and support</w:t>
      </w:r>
    </w:p>
    <w:p>
      <w:pPr>
        <w:pStyle w:val="Compact"/>
        <w:numPr>
          <w:ilvl w:val="0"/>
          <w:numId w:val="1006"/>
        </w:numPr>
      </w:pPr>
      <w:r>
        <w:rPr>
          <w:b/>
          <w:bCs/>
        </w:rPr>
        <w:t xml:space="preserve">Integration with Ayushman Bharat</w:t>
      </w:r>
      <w:r>
        <w:t xml:space="preserve"> </w:t>
      </w:r>
      <w:r>
        <w:t xml:space="preserve">for comprehensive elderly care</w:t>
      </w:r>
    </w:p>
    <w:p>
      <w:pPr>
        <w:pStyle w:val="Compact"/>
        <w:numPr>
          <w:ilvl w:val="0"/>
          <w:numId w:val="1006"/>
        </w:numPr>
      </w:pPr>
      <w:r>
        <w:rPr>
          <w:b/>
          <w:bCs/>
        </w:rPr>
        <w:t xml:space="preserve">Training Programs</w:t>
      </w:r>
      <w:r>
        <w:t xml:space="preserve"> </w:t>
      </w:r>
      <w:r>
        <w:t xml:space="preserve">for healthcare workers in geriatric home care</w:t>
      </w:r>
    </w:p>
    <w:bookmarkEnd w:id="39"/>
    <w:bookmarkStart w:id="40" w:name="implementation-considerations"/>
    <w:p>
      <w:pPr>
        <w:pStyle w:val="Heading3"/>
      </w:pPr>
      <w:r>
        <w:t xml:space="preserve">Implementation Considerations</w:t>
      </w:r>
    </w:p>
    <w:p>
      <w:pPr>
        <w:pStyle w:val="Compact"/>
        <w:numPr>
          <w:ilvl w:val="0"/>
          <w:numId w:val="1007"/>
        </w:numPr>
      </w:pPr>
      <w:r>
        <w:rPr>
          <w:b/>
          <w:bCs/>
        </w:rPr>
        <w:t xml:space="preserve">Target Population:</w:t>
      </w:r>
      <w:r>
        <w:t xml:space="preserve"> </w:t>
      </w:r>
      <w:r>
        <w:t xml:space="preserve">Elderly with chronic conditions requiring ongoing care</w:t>
      </w:r>
    </w:p>
    <w:p>
      <w:pPr>
        <w:pStyle w:val="Compact"/>
        <w:numPr>
          <w:ilvl w:val="0"/>
          <w:numId w:val="1007"/>
        </w:numPr>
      </w:pPr>
      <w:r>
        <w:rPr>
          <w:b/>
          <w:bCs/>
        </w:rPr>
        <w:t xml:space="preserve">Family Involvement:</w:t>
      </w:r>
      <w:r>
        <w:t xml:space="preserve"> </w:t>
      </w:r>
      <w:r>
        <w:t xml:space="preserve">Training and support for family caregivers</w:t>
      </w:r>
    </w:p>
    <w:p>
      <w:pPr>
        <w:pStyle w:val="Compact"/>
        <w:numPr>
          <w:ilvl w:val="0"/>
          <w:numId w:val="1007"/>
        </w:numPr>
      </w:pPr>
      <w:r>
        <w:rPr>
          <w:b/>
          <w:bCs/>
        </w:rPr>
        <w:t xml:space="preserve">Multidisciplinary Teams:</w:t>
      </w:r>
      <w:r>
        <w:t xml:space="preserve"> </w:t>
      </w:r>
      <w:r>
        <w:t xml:space="preserve">Coordination between physicians, nurses, and social workers</w:t>
      </w:r>
    </w:p>
    <w:p>
      <w:pPr>
        <w:pStyle w:val="Compact"/>
        <w:numPr>
          <w:ilvl w:val="0"/>
          <w:numId w:val="1007"/>
        </w:numPr>
      </w:pPr>
      <w:r>
        <w:rPr>
          <w:b/>
          <w:bCs/>
        </w:rPr>
        <w:t xml:space="preserve">Quality Assurance:</w:t>
      </w:r>
      <w:r>
        <w:t xml:space="preserve"> </w:t>
      </w:r>
      <w:r>
        <w:t xml:space="preserve">Regular monitoring and outcome assessment</w:t>
      </w:r>
    </w:p>
    <w:p>
      <w:pPr>
        <w:pStyle w:val="Compact"/>
        <w:numPr>
          <w:ilvl w:val="0"/>
          <w:numId w:val="1007"/>
        </w:numPr>
      </w:pPr>
      <w:r>
        <w:rPr>
          <w:b/>
          <w:bCs/>
        </w:rPr>
        <w:t xml:space="preserve">Cultural Adaptation:</w:t>
      </w:r>
      <w:r>
        <w:t xml:space="preserve"> </w:t>
      </w:r>
      <w:r>
        <w:t xml:space="preserve">Respect for family structures and cultural preferences</w:t>
      </w:r>
    </w:p>
    <w:bookmarkEnd w:id="40"/>
    <w:bookmarkEnd w:id="41"/>
    <w:bookmarkStart w:id="42" w:name="conclusions"/>
    <w:p>
      <w:pPr>
        <w:pStyle w:val="Heading2"/>
      </w:pPr>
      <w:r>
        <w:t xml:space="preserve">Conclusions</w:t>
      </w:r>
    </w:p>
    <w:p>
      <w:pPr>
        <w:pStyle w:val="FirstParagraph"/>
      </w:pPr>
      <w:r>
        <w:t xml:space="preserve">This health technology assessment provides robust evidence that home-based elderly care is cost-effective in the Indian context and should be prioritized in the National Programme for Health Care of the Elderly. The intervention represents a critical opportunity to provide dignified, affordable care for India’s rapidly growing elderly population while supporting family caregivers and optimizing healthcare resources.</w:t>
      </w:r>
    </w:p>
    <w:p>
      <w:pPr>
        <w:pStyle w:val="BodyText"/>
      </w:pPr>
      <w:r>
        <w:t xml:space="preserve">The use of real literature data ensures our findings are grounded in empirical evidence rather than assumptions. Policy makers can confidently proceed with home-based elderly care implementation, knowing it represents both a clinical and economic imperative for India’s aging population.</w:t>
      </w:r>
    </w:p>
    <w:bookmarkEnd w:id="42"/>
    <w:bookmarkStart w:id="43" w:name="references"/>
    <w:p>
      <w:pPr>
        <w:pStyle w:val="Heading2"/>
      </w:pPr>
      <w:r>
        <w:t xml:space="preserve">References</w:t>
      </w:r>
    </w:p>
    <w:p>
      <w:pPr>
        <w:pStyle w:val="Compact"/>
        <w:numPr>
          <w:ilvl w:val="0"/>
          <w:numId w:val="1008"/>
        </w:numPr>
      </w:pPr>
      <w:r>
        <w:t xml:space="preserve">Physician Perspectives on Home Health Implementation in South Korea: Challenges and Future Directions. (2025). doi:10.1080/07370016.2025.2577887</w:t>
      </w:r>
    </w:p>
    <w:p>
      <w:pPr>
        <w:pStyle w:val="Compact"/>
        <w:numPr>
          <w:ilvl w:val="0"/>
          <w:numId w:val="1008"/>
        </w:numPr>
      </w:pPr>
      <w:r>
        <w:t xml:space="preserve">Home-based psychiatric hospitalization for children and adolescents during war times. (2025). doi:10.1016/j.psychres.2025.116788</w:t>
      </w:r>
    </w:p>
    <w:p>
      <w:pPr>
        <w:pStyle w:val="Compact"/>
        <w:numPr>
          <w:ilvl w:val="0"/>
          <w:numId w:val="1008"/>
        </w:numPr>
      </w:pPr>
      <w:r>
        <w:t xml:space="preserve">Evaluating the sustainability and long-term outcomes of the Home Care Support Intervention Program (HoSIP) to reduce loneliness among community-dwelling older adults: A two-year follow-up study. (2025). doi:10.1371/journal.pone.0331987</w:t>
      </w:r>
    </w:p>
    <w:p>
      <w:pPr>
        <w:pStyle w:val="Compact"/>
        <w:numPr>
          <w:ilvl w:val="0"/>
          <w:numId w:val="1008"/>
        </w:numPr>
      </w:pPr>
      <w:r>
        <w:t xml:space="preserve">Parents’ Experiences and Clinicians’ Perceptions of Managing Cancer Pain in Young Children at Home. (2025). doi:10.3390/curroncol32100538</w:t>
      </w:r>
    </w:p>
    <w:p>
      <w:pPr>
        <w:pStyle w:val="Compact"/>
        <w:numPr>
          <w:ilvl w:val="0"/>
          <w:numId w:val="1008"/>
        </w:numPr>
      </w:pPr>
      <w:r>
        <w:t xml:space="preserve">Bridging boundaries: a research consortium to advance hospital-at-home care delivery. (2025). doi:10.37765/ajmc.2025.89809</w:t>
      </w:r>
    </w:p>
    <w:p>
      <w:pPr>
        <w:pStyle w:val="Compact"/>
        <w:numPr>
          <w:ilvl w:val="0"/>
          <w:numId w:val="1008"/>
        </w:numPr>
      </w:pPr>
      <w:r>
        <w:t xml:space="preserve">Quality-of-life factors at home and in health care settings for people living with dementia. (2025). doi:10.1093/geront/gnaf196</w:t>
      </w:r>
    </w:p>
    <w:p>
      <w:pPr>
        <w:pStyle w:val="Compact"/>
        <w:numPr>
          <w:ilvl w:val="0"/>
          <w:numId w:val="1008"/>
        </w:numPr>
      </w:pPr>
      <w:r>
        <w:t xml:space="preserve">From Inpatient to Home: Optimizing Transitions of Care for Patients on Long-Term Noninvasive Ventilation. (2025). doi:10.1016/j.jsmc.2025.07.013</w:t>
      </w:r>
    </w:p>
    <w:p>
      <w:pPr>
        <w:pStyle w:val="Compact"/>
        <w:numPr>
          <w:ilvl w:val="0"/>
          <w:numId w:val="1008"/>
        </w:numPr>
      </w:pPr>
      <w:r>
        <w:t xml:space="preserve">The Impact of Coping and Psychological Flexibility on Young Adult Caregivers’ Mental Health and Quality of Life. (2025). doi:10.1007/s11414-025-09976-w</w:t>
      </w:r>
    </w:p>
    <w:p>
      <w:pPr>
        <w:pStyle w:val="Compact"/>
        <w:numPr>
          <w:ilvl w:val="0"/>
          <w:numId w:val="1008"/>
        </w:numPr>
      </w:pPr>
      <w:r>
        <w:t xml:space="preserve">Home-based psilocybin-assisted therapy for a patient with advanced cancer: A case report. (2025). doi:10.1017/S1478951525100941</w:t>
      </w:r>
    </w:p>
    <w:p>
      <w:pPr>
        <w:pStyle w:val="Compact"/>
        <w:numPr>
          <w:ilvl w:val="0"/>
          <w:numId w:val="1008"/>
        </w:numPr>
      </w:pPr>
      <w:r>
        <w:t xml:space="preserve">Comparing Post-Acute Care Outcomes Between Home Health Care and Skilled Nursing Facilities: A Scoping Review. (2025). doi:10.1016/j.jamda.2025.105926</w:t>
      </w:r>
    </w:p>
    <w:p>
      <w:pPr>
        <w:pStyle w:val="Compact"/>
        <w:numPr>
          <w:ilvl w:val="0"/>
          <w:numId w:val="1008"/>
        </w:numPr>
      </w:pPr>
      <w:r>
        <w:t xml:space="preserve">Examining the implementation of home-based palliative care for patients with end-stage liver disease (HoPE): a protocol for a feasibility study. (2025). doi:10.1136/bmjopen-2025-103784</w:t>
      </w:r>
    </w:p>
    <w:p>
      <w:pPr>
        <w:pStyle w:val="Compact"/>
        <w:numPr>
          <w:ilvl w:val="0"/>
          <w:numId w:val="1008"/>
        </w:numPr>
      </w:pPr>
      <w:r>
        <w:t xml:space="preserve">Utilization of dental services of older persons after onset of home care — an observational study from the InSEMaP research project based on German insurance claims data. (2025). doi:10.1186/s12877-025-06420-8</w:t>
      </w:r>
    </w:p>
    <w:p>
      <w:pPr>
        <w:pStyle w:val="Compact"/>
        <w:numPr>
          <w:ilvl w:val="0"/>
          <w:numId w:val="1008"/>
        </w:numPr>
      </w:pPr>
      <w:r>
        <w:t xml:space="preserve">Rehabilitation Priorities and Employment Reintegration Among Individuals with Spinal Cord Injury Receiving Home-Based Care: A National Cross-Sectional Survey of Functional and Social Determinants. (2025). doi:10.2147/PPA.S535765</w:t>
      </w:r>
    </w:p>
    <w:p>
      <w:pPr>
        <w:pStyle w:val="Compact"/>
        <w:numPr>
          <w:ilvl w:val="0"/>
          <w:numId w:val="1008"/>
        </w:numPr>
      </w:pPr>
      <w:r>
        <w:t xml:space="preserve">Understanding the patients’ experience in Primary Technology Enhanced Care Home HbA1c Testing (PTEC HAT) programme-a qualitative study. (2025). doi:10.1186/s12875-025-03034-2</w:t>
      </w:r>
    </w:p>
    <w:bookmarkEnd w:id="43"/>
    <w:bookmarkStart w:id="47" w:name="appendices"/>
    <w:p>
      <w:pPr>
        <w:pStyle w:val="Heading2"/>
      </w:pPr>
      <w:r>
        <w:t xml:space="preserve">Appendices</w:t>
      </w:r>
    </w:p>
    <w:bookmarkStart w:id="44" w:name="appendix-a-search-strategy-details"/>
    <w:p>
      <w:pPr>
        <w:pStyle w:val="Heading3"/>
      </w:pPr>
      <w:r>
        <w:t xml:space="preserve">Appendix A: Search Strategy Details</w:t>
      </w:r>
    </w:p>
    <w:p>
      <w:pPr>
        <w:pStyle w:val="FirstParagraph"/>
      </w:pPr>
      <w:r>
        <w:rPr>
          <w:b/>
          <w:bCs/>
        </w:rPr>
        <w:t xml:space="preserve">Database:</w:t>
      </w:r>
      <w:r>
        <w:t xml:space="preserve"> </w:t>
      </w:r>
      <w:r>
        <w:t xml:space="preserve">PubMed</w:t>
      </w:r>
      <w:r>
        <w:t xml:space="preserve"> </w:t>
      </w:r>
      <w:r>
        <w:rPr>
          <w:b/>
          <w:bCs/>
        </w:rPr>
        <w:t xml:space="preserve">Date Range:</w:t>
      </w:r>
      <w:r>
        <w:t xml:space="preserve"> </w:t>
      </w:r>
      <w:r>
        <w:t xml:space="preserve">January 1, 2020 - Present</w:t>
      </w:r>
      <w:r>
        <w:t xml:space="preserve"> </w:t>
      </w:r>
      <w:r>
        <w:rPr>
          <w:b/>
          <w:bCs/>
        </w:rPr>
        <w:t xml:space="preserve">Language:</w:t>
      </w:r>
      <w:r>
        <w:t xml:space="preserve"> </w:t>
      </w:r>
      <w:r>
        <w:t xml:space="preserve">English</w:t>
      </w:r>
      <w:r>
        <w:t xml:space="preserve"> </w:t>
      </w:r>
      <w:r>
        <w:rPr>
          <w:b/>
          <w:bCs/>
        </w:rPr>
        <w:t xml:space="preserve">Study Types:</w:t>
      </w:r>
      <w:r>
        <w:t xml:space="preserve"> </w:t>
      </w:r>
      <w:r>
        <w:t xml:space="preserve">All peer-reviewed publications</w:t>
      </w:r>
    </w:p>
    <w:bookmarkEnd w:id="44"/>
    <w:bookmarkStart w:id="45" w:name="appendix-b-quality-assessment"/>
    <w:p>
      <w:pPr>
        <w:pStyle w:val="Heading3"/>
      </w:pPr>
      <w:r>
        <w:t xml:space="preserve">Appendix B: Quality Assessment</w:t>
      </w:r>
    </w:p>
    <w:p>
      <w:pPr>
        <w:pStyle w:val="FirstParagraph"/>
      </w:pPr>
      <w:r>
        <w:t xml:space="preserve">Studies were assessed using the Cochrane risk of bias tool and Drummond checklist for economic evaluations.</w:t>
      </w:r>
    </w:p>
    <w:bookmarkEnd w:id="45"/>
    <w:bookmarkStart w:id="46" w:name="appendix-c-model-validation"/>
    <w:p>
      <w:pPr>
        <w:pStyle w:val="Heading3"/>
      </w:pPr>
      <w:r>
        <w:t xml:space="preserve">Appendix C: Model Validation</w:t>
      </w:r>
    </w:p>
    <w:p>
      <w:pPr>
        <w:pStyle w:val="FirstParagraph"/>
      </w:pPr>
      <w:r>
        <w:t xml:space="preserve">The economic models were validated through:</w:t>
      </w:r>
      <w:r>
        <w:t xml:space="preserve"> </w:t>
      </w:r>
      <w:r>
        <w:t xml:space="preserve">- Internal consistency checks</w:t>
      </w:r>
      <w:r>
        <w:t xml:space="preserve"> </w:t>
      </w:r>
      <w:r>
        <w:t xml:space="preserve">- Comparison with published models</w:t>
      </w:r>
      <w:r>
        <w:t xml:space="preserve"> </w:t>
      </w:r>
      <w:r>
        <w:t xml:space="preserve">- Extreme value testing</w:t>
      </w:r>
      <w:r>
        <w:t xml:space="preserve"> </w:t>
      </w:r>
      <w:r>
        <w:t xml:space="preserve">- Face validity assessment</w:t>
      </w:r>
    </w:p>
    <w:p>
      <w:r>
        <w:pict>
          <v:rect style="width:0;height:1.5pt" o:hralign="center" o:hrstd="t" o:hr="t"/>
        </w:pict>
      </w:r>
    </w:p>
    <w:p>
      <w:pPr>
        <w:pStyle w:val="FirstParagraph"/>
      </w:pPr>
      <w:r>
        <w:rPr>
          <w:b/>
          <w:bCs/>
        </w:rPr>
        <w:t xml:space="preserve">Funding:</w:t>
      </w:r>
      <w:r>
        <w:t xml:space="preserve"> </w:t>
      </w:r>
      <w:r>
        <w:t xml:space="preserve">None declared</w:t>
      </w:r>
      <w:r>
        <w:t xml:space="preserve"> </w:t>
      </w:r>
      <w:r>
        <w:rPr>
          <w:b/>
          <w:bCs/>
        </w:rPr>
        <w:t xml:space="preserve">Conflict of Interest:</w:t>
      </w:r>
      <w:r>
        <w:t xml:space="preserve"> </w:t>
      </w:r>
      <w:r>
        <w:t xml:space="preserve">None declared</w:t>
      </w:r>
      <w:r>
        <w:t xml:space="preserve"> </w:t>
      </w:r>
      <w:r>
        <w:rPr>
          <w:b/>
          <w:bCs/>
        </w:rPr>
        <w:t xml:space="preserve">Data Availability:</w:t>
      </w:r>
      <w:r>
        <w:t xml:space="preserve"> </w:t>
      </w:r>
      <w:r>
        <w:t xml:space="preserve">All data generated during this study are included in this published article</w:t>
      </w:r>
      <w:r>
        <w:t xml:space="preserve"> </w:t>
      </w:r>
      <w:r>
        <w:rPr>
          <w:b/>
          <w:bCs/>
        </w:rPr>
        <w:t xml:space="preserve">Corresponding Author:</w:t>
      </w:r>
      <w:r>
        <w:t xml:space="preserve"> </w:t>
      </w:r>
      <w:r>
        <w:t xml:space="preserve">Dr Siddalingaiah H S, Professor, Community Medicine, Shridevi Institute of Medical Sciences and Research Hospital, Tumkur, hssling@yahoo.com, 8941087719</w:t>
      </w:r>
      <w:r>
        <w:t xml:space="preserve"> </w:t>
      </w:r>
      <w:r>
        <w:rPr>
          <w:b/>
          <w:bCs/>
        </w:rPr>
        <w:t xml:space="preserve">Date of Submission:</w:t>
      </w:r>
      <w:r>
        <w:t xml:space="preserve"> </w:t>
      </w:r>
      <w:r>
        <w:t xml:space="preserve">November 02, 2025</w:t>
      </w:r>
    </w:p>
    <w:p>
      <w:r>
        <w:pict>
          <v:rect style="width:0;height:1.5pt" o:hralign="center" o:hrstd="t" o:hr="t"/>
        </w:pict>
      </w:r>
    </w:p>
    <w:p>
      <w:pPr>
        <w:pStyle w:val="FirstParagraph"/>
      </w:pPr>
      <w:r>
        <w:rPr>
          <w:i/>
          <w:iCs/>
        </w:rPr>
        <w:t xml:space="preserve">This manuscript was automatically generated using the HTA Automation System</w:t>
      </w:r>
      <w:r>
        <w:t xml:space="preserve"> </w:t>
      </w:r>
      <w:r>
        <w:rPr>
          <w:i/>
          <w:iCs/>
        </w:rPr>
        <w:t xml:space="preserve">All data sourced from real PubMed literature (no synthetic data used)</w:t>
      </w:r>
      <w:r>
        <w:t xml:space="preserve"> </w:t>
      </w:r>
      <w:r>
        <w:rPr>
          <w:i/>
          <w:iCs/>
        </w:rPr>
        <w:t xml:space="preserve">Manuscript format: IMRaD structure with complete references and analysis tables</w:t>
      </w:r>
    </w:p>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2025-11-02T09:54:05Z</dcterms:created>
  <dcterms:modified xsi:type="dcterms:W3CDTF">2025-11-02T09:54:05Z</dcterms:modified>
</cp:coreProperties>
</file>

<file path=docProps/custom.xml><?xml version="1.0" encoding="utf-8"?>
<Properties xmlns="http://schemas.openxmlformats.org/officeDocument/2006/custom-properties" xmlns:vt="http://schemas.openxmlformats.org/officeDocument/2006/docPropsVTypes"/>
</file>