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March 15, 2026</w:t>
      </w:r>
    </w:p>
    <w:p/>
    <w:p>
      <w:r>
        <w:t>The Editor-in-Chief</w:t>
      </w:r>
    </w:p>
    <w:p>
      <w:r>
        <w:t>Medical Journal of Dr. D.Y. Patil Vidyapeeth</w:t>
      </w:r>
    </w:p>
    <w:p/>
    <w:p>
      <w:r>
        <w:t>Re: revised submission of 'A Cross-Flaviviral Transcriptomic Prioritization Framework for Host-Directed Therapy in Kyasanur Forest Disease'</w:t>
      </w:r>
    </w:p>
    <w:p/>
    <w:p>
      <w:r>
        <w:t>Please find our revised original article for consideration. In response to peer review, we rebuilt the analysis rather than applying only textual edits.</w:t>
      </w:r>
    </w:p>
    <w:p>
      <w:r>
        <w:t>The revised manuscript removes the unsupported 'multi-omics' claim, replaces the opaque random-weight scoring system with an explicit deterministic framework, documents dataset preprocessing and probe-to-gene collapsing, reconciles the pathway-level narrative with the actual table values, and reframes all therapeutic outputs as hypothesis-generating.</w:t>
      </w:r>
    </w:p>
    <w:p>
      <w:r>
        <w:t>We also provide a separate response-to-reviewers table and supplementary methods/tables so that the gene-panel construction, scoring logic, and sensitivity analysis are directly auditable.</w:t>
      </w:r>
    </w:p>
    <w:p>
      <w:r>
        <w:t>This manuscript is not under consideration elsewhere. No conflicts of interest or external funding apply.</w:t>
      </w:r>
    </w:p>
    <w:p/>
    <w:p>
      <w:r>
        <w:t>Sincerely,</w:t>
      </w:r>
    </w:p>
    <w:p/>
    <w:p>
      <w:r>
        <w:t>Dr. Siddalingaiah H 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