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A Cross-Flaviviral Transcriptomic Prioritization Framework for Host-Directed Therapy in Kyasanur Forest Disease</w:t>
      </w:r>
    </w:p>
    <w:p>
      <w:r>
        <w:rPr>
          <w:b/>
        </w:rPr>
        <w:t xml:space="preserve">Running Title: </w:t>
      </w:r>
      <w:r>
        <w:t>Transcriptomic HDT Framework for KFD</w:t>
      </w:r>
    </w:p>
    <w:p>
      <w:r>
        <w:br w:type="page"/>
      </w:r>
    </w:p>
    <w:p>
      <w:pPr>
        <w:pStyle w:val="Heading1"/>
      </w:pPr>
      <w:r>
        <w:t>ABSTRACT</w:t>
      </w:r>
    </w:p>
    <w:p>
      <w:r>
        <w:rPr>
          <w:b/>
        </w:rPr>
        <w:t>Background:</w:t>
      </w:r>
      <w:r>
        <w:t xml:space="preserve"> Kyasanur Forest Disease (KFD) is a tick-borne flaviviral hemorrhagic fever endemic to the Western Ghats of India. No specific antiviral treatment exists.[1-5]</w:t>
      </w:r>
    </w:p>
    <w:p>
      <w:r>
        <w:rPr>
          <w:b/>
        </w:rPr>
        <w:t>Objectives:</w:t>
      </w:r>
      <w:r>
        <w:t xml:space="preserve"> To replace an opaque 'multi-omics' narrative with a reproducible transcriptomic prioritization framework for host-directed therapy (HDT) in KFD.</w:t>
      </w:r>
    </w:p>
    <w:p>
      <w:r>
        <w:rPr>
          <w:b/>
        </w:rPr>
        <w:t>Materials and Methods:</w:t>
      </w:r>
      <w:r>
        <w:t xml:space="preserve"> We analyzed three public dengue severity cohorts from GEO (GSE18090, GSE43777, GSE51808; 122 acute samples, 57 severe and 65 non-severe) because KFD-specific blood transcriptomes are unavailable.[8-11] A prespecified 50-gene host-response panel was rescored using an explicit formula: 0.45×omics + 0.20×tractability + 0.20×pathway relevance + 0.15×clinical-phase relevance.</w:t>
      </w:r>
    </w:p>
    <w:p>
      <w:r>
        <w:rPr>
          <w:b/>
        </w:rPr>
        <w:t>Results:</w:t>
      </w:r>
      <w:r>
        <w:t xml:space="preserve"> Cytokine signaling had the highest mean pathway score (0.474), followed by coagulation/fibrinolysis (0.406) and endothelial-barrier biology (0.403). The highest-ranked genes were IL1B, CXCL10, IL6, TNF, and CCL2. Endothelial and coagulation genes remained mechanistically relevant, including ANGPT2, F3, VWF, PROCR, and SERPINE1, but most showed limited cross-cohort recurrence. Rank stability remained high under alternative weighting schemes (rho 0.86-0.96). Candidate interventions were framed as hypothesis-generating, with plasma or platelet support, tranexamic acid, atorvastatin, and N-acetylcysteine shortlisted for further evaluation.</w:t>
      </w:r>
    </w:p>
    <w:p>
      <w:r>
        <w:rPr>
          <w:b/>
        </w:rPr>
        <w:t>Conclusions:</w:t>
      </w:r>
      <w:r>
        <w:t xml:space="preserve"> The revised study supports a transcriptomic prioritization framework, not a KFD-specific omics discovery paper. Severe flaviviral blood-response data most strongly support inflammatory signaling, while endothelial and coagulation pathways remain testable translational hypotheses for KFD that require experimental and clinical validation before use.[6,7,14-18]</w:t>
      </w:r>
    </w:p>
    <w:p>
      <w:r>
        <w:rPr>
          <w:b/>
        </w:rPr>
        <w:t xml:space="preserve">Keywords: </w:t>
      </w:r>
      <w:r>
        <w:t>Kyasanur Forest Disease; host-directed therapy; transcriptomics; dengue; drug repurposing; endothelial dysfunction; coagulation</w:t>
      </w:r>
    </w:p>
    <w:p>
      <w:r>
        <w:br w:type="page"/>
      </w:r>
    </w:p>
    <w:p>
      <w:pPr>
        <w:pStyle w:val="Heading1"/>
      </w:pPr>
      <w:r>
        <w:t>INTRODUCTION</w:t>
      </w:r>
    </w:p>
    <w:p>
      <w:r>
        <w:t>Kyasanur Forest Disease is a tick-borne flaviviral hemorrhagic fever first recognized in Karnataka in 1957 and now reported across several Western Ghats districts.</w:t>
      </w:r>
      <w:r>
        <w:rPr>
          <w:vertAlign w:val="superscript"/>
        </w:rPr>
        <w:t>[1-4]</w:t>
      </w:r>
      <w:r>
        <w:t xml:space="preserve"> The disease remains clinically important because it affects forest-linked rural populations, supportive care is the only established treatment, and vaccine protection is incomplete.</w:t>
      </w:r>
      <w:r>
        <w:rPr>
          <w:vertAlign w:val="superscript"/>
        </w:rPr>
        <w:t>[4,5,19]</w:t>
      </w:r>
      <w:r/>
    </w:p>
    <w:p>
      <w:r>
        <w:t>The original submission overstated the work as an 'integrated multi-omics pipeline'. That description was not justified because the study relied on transcriptomic public datasets and downstream drug-target prioritization rather than true multi-layer omics integration. The revised manuscript therefore reframes the study as a transcriptomic prioritization framework.</w:t>
      </w:r>
    </w:p>
    <w:p>
      <w:r>
        <w:t>KFD-specific blood transcriptomes are not currently available in GEO. We therefore used publicly available human dengue severity datasets as a cross-flaviviral proxy because dengue provides the best-annotated human datasets for vascular leak, thrombocytopenia, and inflammatory escalation among flaviviral illnesses.</w:t>
      </w:r>
      <w:r>
        <w:rPr>
          <w:vertAlign w:val="superscript"/>
        </w:rPr>
        <w:t>[8-11,14,15]</w:t>
      </w:r>
      <w:r>
        <w:t xml:space="preserve"> This inference is biologically plausible but imperfect, so the revised manuscript treats all translational outputs as hypothesis-generating.</w:t>
      </w:r>
    </w:p>
    <w:p>
      <w:r>
        <w:t>The goal of the revision was not to claim KFD-specific gene discovery. Instead, we defined a reproducible 50-gene host-response panel anchored to Reactome-supported pathobiology modules relevant to hemorrhagic flaviviral disease and rescored that panel transparently against public datasets to identify HDT targets suitable for future preclinical and clinical testing.</w:t>
      </w:r>
      <w:r>
        <w:rPr>
          <w:vertAlign w:val="superscript"/>
        </w:rPr>
        <w:t>[6,7,12]</w:t>
      </w:r>
      <w:r/>
    </w:p>
    <w:p>
      <w:pPr>
        <w:pStyle w:val="Heading1"/>
      </w:pPr>
      <w:r>
        <w:t>MATERIALS AND METHODS</w:t>
      </w:r>
    </w:p>
    <w:p>
      <w:r>
        <w:t>Study design: This was a secondary analysis of publicly available de-identified transcriptomic datasets combined with transparent rule-based therapeutic prioritization. No human subjects were enrolled directly, and institutional ethics approval was not required for reuse of public data.</w:t>
      </w:r>
    </w:p>
    <w:p>
      <w:r>
        <w:t>Dataset selection: Three GEO datasets containing human acute dengue samples with severe-versus-non-severe annotations were included: GSE18090 (Brazilian PBMC cohort), GSE43777 (Venezuelan longitudinal PBMC cohort; only acute-phase samples retained), and GSE51808 (Thai whole-blood cohort).</w:t>
      </w:r>
      <w:r>
        <w:rPr>
          <w:vertAlign w:val="superscript"/>
        </w:rPr>
        <w:t>[9-11]</w:t>
      </w:r>
      <w:r>
        <w:t xml:space="preserve"> Across discovery cohorts, 57 severe and 65 non-severe acute samples were analyzed.</w:t>
      </w:r>
    </w:p>
    <w:p>
      <w:r>
        <w:t>Preprocessing and differential expression: We used the processed series-matrix files supplied by GEO submitters and analyzed each cohort separately to avoid inappropriate cross-platform normalization. Probe identifiers were mapped to official gene symbols using the corresponding GPL annotations, probe-level values were log2 transformed when the processed signal range exceeded 50, and duplicate probes were collapsed by retaining the probe with the highest mean expression. Severe-versus-non-severe contrasts were tested with Welch's t test, and Benjamini-Hochberg adjusted P values were calculated within each cohort.</w:t>
      </w:r>
    </w:p>
    <w:p>
      <w:r>
        <w:t>Gene-panel construction: The revised manuscript no longer presents the 50 genes as a KFD-specific discovery signature. Instead, the panel was prespecified from hemorrhagic-flaviviral host-response modules covering cytokine signaling, endothelial barrier biology, coagulation/fibrinolysis, platelet activation, neurological/barrier responses, and oxidative stress. Module labels were aligned to Reactome categories, and the full panel is provided in the Supplementary Materials.</w:t>
      </w:r>
      <w:r>
        <w:rPr>
          <w:vertAlign w:val="superscript"/>
        </w:rPr>
        <w:t>[12]</w:t>
      </w:r>
      <w:r/>
    </w:p>
    <w:p>
      <w:r>
        <w:t>Composite scoring: Omics score was defined as 0.65 times cross-cohort recurrence plus 0.35 times median absolute log2 fold-change. Recurrence equaled the proportion of discovery cohorts in which a gene showed same-direction differential expression at P less than or equal to 0.05 and absolute log2 fold-change greater than or equal to 0.30. Tractability score was assigned from explicit repurposing feasibility tiers (high 1.00, moderate 0.65, supportive 0.45, low 0.20). Pathway relevance and clinical-phase relevance were prespecified from KFD pathobiology. The final priority score was 0.45 times omics plus 0.20 times tractability plus 0.20 times pathway relevance plus 0.15 times phase relevance.</w:t>
      </w:r>
    </w:p>
    <w:p>
      <w:r>
        <w:t>Weight sensitivity: To test whether the ranking depended on one arbitrary set of coefficients, we recalculated all scores under equal-weight and omics-heavy schemes. Rank correlation with the base model remained high (rho=0.86 for equal weighting and rho=0.96 for omics-heavy weighting).</w:t>
      </w:r>
    </w:p>
    <w:p>
      <w:r>
        <w:t>Drug-candidate interpretation: Candidate therapies were linked only after the target ranking was generated. The revised manuscript distinguishes supportive-care products already used in bleeding management from true repurposing hypotheses and avoids direct therapeutic recommendations for district-hospital practice in the absence of experimental or clinical validation.</w:t>
      </w:r>
    </w:p>
    <w:p>
      <w:pPr>
        <w:pStyle w:val="Heading1"/>
      </w:pPr>
      <w:r>
        <w:t>RESULTS</w:t>
      </w:r>
    </w:p>
    <w:p>
      <w:r>
        <w:t>Cohort composition is summarized in Figure 1. The final analysis comprised 122 acute samples (57 severe, 65 non-severe) across three geographically distinct dengue cohorts. Nominal severe-versus-non-severe differential-expression signals were detected in all three studies, but only GSE43777 retained a substantial number of within-cohort false-discovery-rate significant genes. This justified the revision strategy of using transparent cross-cohort recurrence within a prespecified panel rather than presenting an apparently de novo KFD signature.</w:t>
      </w:r>
    </w:p>
    <w:p>
      <w:r>
        <w:t>Table 1 shows the 15 highest-ranked targets. IL1B, CXCL10, and IL6 were the top three genes, followed by TNF and CCL2. Among pathway categories with immediate translational relevance to hemorrhagic disease, ANGPT2 ranked eighth, F3 tenth, VWF thirteenth, PROCR fourteenth, and SERPINE1 fifteenth. However, most endothelial and coagulation genes were prioritized because of mechanistic plausibility plus single-cohort transcriptomic support rather than robust recurrence across all datasets.</w:t>
      </w:r>
    </w:p>
    <w:p>
      <w:r>
        <w:t>At the pathway level, cytokine signaling had the highest mean composite score (0.474), followed by coagulation/fibrinolysis (0.406) and endothelial-barrier biology (0.403) (Table 2; Figure 4). This ranking is consistent across the text, the summary table, and the figures.</w:t>
      </w:r>
    </w:p>
    <w:p>
      <w:r>
        <w:t>The revised drug table is framed as a hypothesis-generation output rather than a recommendation list. Target-matched biologics such as anakinra and tocilizumab score highly on mechanism but are unlikely to be first-line peripheral options. Lower-cost adjunctive hypotheses include atorvastatin for endothelial stabilization, tranexamic acid for fibrinolysis-dominant bleeding phenotypes, and N-acetylcysteine for oxidative-stress modulation. Plasma and platelet support remain standard supportive care rather than discoveries of the computational pipeline.</w:t>
      </w:r>
    </w:p>
    <w:p/>
    <w:p>
      <w:r>
        <w:rPr>
          <w:b/>
        </w:rPr>
        <w:t>Table 1. Top 15 prioritized host-response targets.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2F3"/>
          </w:tcPr>
          <w:p>
            <w:r>
              <w:rPr>
                <w:b/>
              </w:rPr>
              <w:t>Rank</w:t>
            </w:r>
          </w:p>
        </w:tc>
        <w:tc>
          <w:tcPr>
            <w:tcW w:type="dxa" w:w="1568"/>
            <w:shd w:fill="D9E2F3"/>
          </w:tcPr>
          <w:p>
            <w:r>
              <w:rPr>
                <w:b/>
              </w:rPr>
              <w:t>Gene</w:t>
            </w:r>
          </w:p>
        </w:tc>
        <w:tc>
          <w:tcPr>
            <w:tcW w:type="dxa" w:w="1568"/>
            <w:shd w:fill="D9E2F3"/>
          </w:tcPr>
          <w:p>
            <w:r>
              <w:rPr>
                <w:b/>
              </w:rPr>
              <w:t>Pathway</w:t>
            </w:r>
          </w:p>
        </w:tc>
        <w:tc>
          <w:tcPr>
            <w:tcW w:type="dxa" w:w="1568"/>
            <w:shd w:fill="D9E2F3"/>
          </w:tcPr>
          <w:p>
            <w:r>
              <w:rPr>
                <w:b/>
              </w:rPr>
              <w:t>Supporting datasets</w:t>
            </w:r>
          </w:p>
        </w:tc>
        <w:tc>
          <w:tcPr>
            <w:tcW w:type="dxa" w:w="1568"/>
            <w:shd w:fill="D9E2F3"/>
          </w:tcPr>
          <w:p>
            <w:r>
              <w:rPr>
                <w:b/>
              </w:rPr>
              <w:t>Composite score</w:t>
            </w:r>
          </w:p>
        </w:tc>
        <w:tc>
          <w:tcPr>
            <w:tcW w:type="dxa" w:w="1568"/>
            <w:shd w:fill="D9E2F3"/>
          </w:tcPr>
          <w:p>
            <w:r>
              <w:rPr>
                <w:b/>
              </w:rPr>
              <w:t>Lead hypothesis</w:t>
            </w:r>
          </w:p>
        </w:tc>
      </w:tr>
      <w:tr>
        <w:tc>
          <w:tcPr>
            <w:tcW w:type="dxa" w:w="1568"/>
          </w:tcPr>
          <w:p>
            <w:r>
              <w:t>1</w:t>
            </w:r>
          </w:p>
        </w:tc>
        <w:tc>
          <w:tcPr>
            <w:tcW w:type="dxa" w:w="1568"/>
          </w:tcPr>
          <w:p>
            <w:r>
              <w:t>IL1B</w:t>
            </w:r>
          </w:p>
        </w:tc>
        <w:tc>
          <w:tcPr>
            <w:tcW w:type="dxa" w:w="1568"/>
          </w:tcPr>
          <w:p>
            <w:r>
              <w:t>cytokine signaling</w:t>
            </w:r>
          </w:p>
        </w:tc>
        <w:tc>
          <w:tcPr>
            <w:tcW w:type="dxa" w:w="1568"/>
          </w:tcPr>
          <w:p>
            <w:r>
              <w:t>GSE43777</w:t>
            </w:r>
          </w:p>
        </w:tc>
        <w:tc>
          <w:tcPr>
            <w:tcW w:type="dxa" w:w="1568"/>
          </w:tcPr>
          <w:p>
            <w:r>
              <w:t>0.652</w:t>
            </w:r>
          </w:p>
        </w:tc>
        <w:tc>
          <w:tcPr>
            <w:tcW w:type="dxa" w:w="1568"/>
          </w:tcPr>
          <w:p>
            <w:r>
              <w:t>Anakinra</w:t>
            </w:r>
          </w:p>
        </w:tc>
      </w:tr>
      <w:tr>
        <w:tc>
          <w:tcPr>
            <w:tcW w:type="dxa" w:w="1568"/>
          </w:tcPr>
          <w:p>
            <w:r>
              <w:t>2</w:t>
            </w:r>
          </w:p>
        </w:tc>
        <w:tc>
          <w:tcPr>
            <w:tcW w:type="dxa" w:w="1568"/>
          </w:tcPr>
          <w:p>
            <w:r>
              <w:t>CXCL10</w:t>
            </w:r>
          </w:p>
        </w:tc>
        <w:tc>
          <w:tcPr>
            <w:tcW w:type="dxa" w:w="1568"/>
          </w:tcPr>
          <w:p>
            <w:r>
              <w:t>cytokine signaling</w:t>
            </w:r>
          </w:p>
        </w:tc>
        <w:tc>
          <w:tcPr>
            <w:tcW w:type="dxa" w:w="1568"/>
          </w:tcPr>
          <w:p>
            <w:r>
              <w:t>GSE18090</w:t>
            </w:r>
          </w:p>
        </w:tc>
        <w:tc>
          <w:tcPr>
            <w:tcW w:type="dxa" w:w="1568"/>
          </w:tcPr>
          <w:p>
            <w:r>
              <w:t>0.616</w:t>
            </w:r>
          </w:p>
        </w:tc>
        <w:tc>
          <w:tcPr>
            <w:tcW w:type="dxa" w:w="1568"/>
          </w:tcPr>
          <w:p>
            <w:r>
              <w:t>No direct low-cost repurposed agent</w:t>
            </w:r>
          </w:p>
        </w:tc>
      </w:tr>
      <w:tr>
        <w:tc>
          <w:tcPr>
            <w:tcW w:type="dxa" w:w="1568"/>
          </w:tcPr>
          <w:p>
            <w:r>
              <w:t>3</w:t>
            </w:r>
          </w:p>
        </w:tc>
        <w:tc>
          <w:tcPr>
            <w:tcW w:type="dxa" w:w="1568"/>
          </w:tcPr>
          <w:p>
            <w:r>
              <w:t>IL6</w:t>
            </w:r>
          </w:p>
        </w:tc>
        <w:tc>
          <w:tcPr>
            <w:tcW w:type="dxa" w:w="1568"/>
          </w:tcPr>
          <w:p>
            <w:r>
              <w:t>cytokine signaling</w:t>
            </w:r>
          </w:p>
        </w:tc>
        <w:tc>
          <w:tcPr>
            <w:tcW w:type="dxa" w:w="1568"/>
          </w:tcPr>
          <w:p>
            <w:r>
              <w:t>GSE43777</w:t>
            </w:r>
          </w:p>
        </w:tc>
        <w:tc>
          <w:tcPr>
            <w:tcW w:type="dxa" w:w="1568"/>
          </w:tcPr>
          <w:p>
            <w:r>
              <w:t>0.573</w:t>
            </w:r>
          </w:p>
        </w:tc>
        <w:tc>
          <w:tcPr>
            <w:tcW w:type="dxa" w:w="1568"/>
          </w:tcPr>
          <w:p>
            <w:r>
              <w:t>Tocilizumab</w:t>
            </w:r>
          </w:p>
        </w:tc>
      </w:tr>
      <w:tr>
        <w:tc>
          <w:tcPr>
            <w:tcW w:type="dxa" w:w="1568"/>
          </w:tcPr>
          <w:p>
            <w:r>
              <w:t>4</w:t>
            </w:r>
          </w:p>
        </w:tc>
        <w:tc>
          <w:tcPr>
            <w:tcW w:type="dxa" w:w="1568"/>
          </w:tcPr>
          <w:p>
            <w:r>
              <w:t>TNF</w:t>
            </w:r>
          </w:p>
        </w:tc>
        <w:tc>
          <w:tcPr>
            <w:tcW w:type="dxa" w:w="1568"/>
          </w:tcPr>
          <w:p>
            <w:r>
              <w:t>cytokine signaling</w:t>
            </w:r>
          </w:p>
        </w:tc>
        <w:tc>
          <w:tcPr>
            <w:tcW w:type="dxa" w:w="1568"/>
          </w:tcPr>
          <w:p>
            <w:r>
              <w:t>none</w:t>
            </w:r>
          </w:p>
        </w:tc>
        <w:tc>
          <w:tcPr>
            <w:tcW w:type="dxa" w:w="1568"/>
          </w:tcPr>
          <w:p>
            <w:r>
              <w:t>0.503</w:t>
            </w:r>
          </w:p>
        </w:tc>
        <w:tc>
          <w:tcPr>
            <w:tcW w:type="dxa" w:w="1568"/>
          </w:tcPr>
          <w:p>
            <w:r>
              <w:t>Pentoxifylline</w:t>
            </w:r>
          </w:p>
        </w:tc>
      </w:tr>
      <w:tr>
        <w:tc>
          <w:tcPr>
            <w:tcW w:type="dxa" w:w="1568"/>
          </w:tcPr>
          <w:p>
            <w:r>
              <w:t>5</w:t>
            </w:r>
          </w:p>
        </w:tc>
        <w:tc>
          <w:tcPr>
            <w:tcW w:type="dxa" w:w="1568"/>
          </w:tcPr>
          <w:p>
            <w:r>
              <w:t>CCL2</w:t>
            </w:r>
          </w:p>
        </w:tc>
        <w:tc>
          <w:tcPr>
            <w:tcW w:type="dxa" w:w="1568"/>
          </w:tcPr>
          <w:p>
            <w:r>
              <w:t>cytokine signaling</w:t>
            </w:r>
          </w:p>
        </w:tc>
        <w:tc>
          <w:tcPr>
            <w:tcW w:type="dxa" w:w="1568"/>
          </w:tcPr>
          <w:p>
            <w:r>
              <w:t>none</w:t>
            </w:r>
          </w:p>
        </w:tc>
        <w:tc>
          <w:tcPr>
            <w:tcW w:type="dxa" w:w="1568"/>
          </w:tcPr>
          <w:p>
            <w:r>
              <w:t>0.497</w:t>
            </w:r>
          </w:p>
        </w:tc>
        <w:tc>
          <w:tcPr>
            <w:tcW w:type="dxa" w:w="1568"/>
          </w:tcPr>
          <w:p>
            <w:r>
              <w:t>No direct repurposed agent</w:t>
            </w:r>
          </w:p>
        </w:tc>
      </w:tr>
      <w:tr>
        <w:tc>
          <w:tcPr>
            <w:tcW w:type="dxa" w:w="1568"/>
          </w:tcPr>
          <w:p>
            <w:r>
              <w:t>6</w:t>
            </w:r>
          </w:p>
        </w:tc>
        <w:tc>
          <w:tcPr>
            <w:tcW w:type="dxa" w:w="1568"/>
          </w:tcPr>
          <w:p>
            <w:r>
              <w:t>STAT1</w:t>
            </w:r>
          </w:p>
        </w:tc>
        <w:tc>
          <w:tcPr>
            <w:tcW w:type="dxa" w:w="1568"/>
          </w:tcPr>
          <w:p>
            <w:r>
              <w:t>cytokine signaling</w:t>
            </w:r>
          </w:p>
        </w:tc>
        <w:tc>
          <w:tcPr>
            <w:tcW w:type="dxa" w:w="1568"/>
          </w:tcPr>
          <w:p>
            <w:r>
              <w:t>GSE18090</w:t>
            </w:r>
          </w:p>
        </w:tc>
        <w:tc>
          <w:tcPr>
            <w:tcW w:type="dxa" w:w="1568"/>
          </w:tcPr>
          <w:p>
            <w:r>
              <w:t>0.496</w:t>
            </w:r>
          </w:p>
        </w:tc>
        <w:tc>
          <w:tcPr>
            <w:tcW w:type="dxa" w:w="1568"/>
          </w:tcPr>
          <w:p>
            <w:r>
              <w:t>No direct repurposed agent</w:t>
            </w:r>
          </w:p>
        </w:tc>
      </w:tr>
      <w:tr>
        <w:tc>
          <w:tcPr>
            <w:tcW w:type="dxa" w:w="1568"/>
          </w:tcPr>
          <w:p>
            <w:r>
              <w:t>7</w:t>
            </w:r>
          </w:p>
        </w:tc>
        <w:tc>
          <w:tcPr>
            <w:tcW w:type="dxa" w:w="1568"/>
          </w:tcPr>
          <w:p>
            <w:r>
              <w:t>IFNB1</w:t>
            </w:r>
          </w:p>
        </w:tc>
        <w:tc>
          <w:tcPr>
            <w:tcW w:type="dxa" w:w="1568"/>
          </w:tcPr>
          <w:p>
            <w:r>
              <w:t>cytokine signaling</w:t>
            </w:r>
          </w:p>
        </w:tc>
        <w:tc>
          <w:tcPr>
            <w:tcW w:type="dxa" w:w="1568"/>
          </w:tcPr>
          <w:p>
            <w:r>
              <w:t>GSE43777</w:t>
            </w:r>
          </w:p>
        </w:tc>
        <w:tc>
          <w:tcPr>
            <w:tcW w:type="dxa" w:w="1568"/>
          </w:tcPr>
          <w:p>
            <w:r>
              <w:t>0.487</w:t>
            </w:r>
          </w:p>
        </w:tc>
        <w:tc>
          <w:tcPr>
            <w:tcW w:type="dxa" w:w="1568"/>
          </w:tcPr>
          <w:p>
            <w:r>
              <w:t>No direct repurposed agent</w:t>
            </w:r>
          </w:p>
        </w:tc>
      </w:tr>
      <w:tr>
        <w:tc>
          <w:tcPr>
            <w:tcW w:type="dxa" w:w="1568"/>
          </w:tcPr>
          <w:p>
            <w:r>
              <w:t>8</w:t>
            </w:r>
          </w:p>
        </w:tc>
        <w:tc>
          <w:tcPr>
            <w:tcW w:type="dxa" w:w="1568"/>
          </w:tcPr>
          <w:p>
            <w:r>
              <w:t>ANGPT2</w:t>
            </w:r>
          </w:p>
        </w:tc>
        <w:tc>
          <w:tcPr>
            <w:tcW w:type="dxa" w:w="1568"/>
          </w:tcPr>
          <w:p>
            <w:r>
              <w:t>endothelial barrier</w:t>
            </w:r>
          </w:p>
        </w:tc>
        <w:tc>
          <w:tcPr>
            <w:tcW w:type="dxa" w:w="1568"/>
          </w:tcPr>
          <w:p>
            <w:r>
              <w:t>none</w:t>
            </w:r>
          </w:p>
        </w:tc>
        <w:tc>
          <w:tcPr>
            <w:tcW w:type="dxa" w:w="1568"/>
          </w:tcPr>
          <w:p>
            <w:r>
              <w:t>0.484</w:t>
            </w:r>
          </w:p>
        </w:tc>
        <w:tc>
          <w:tcPr>
            <w:tcW w:type="dxa" w:w="1568"/>
          </w:tcPr>
          <w:p>
            <w:r>
              <w:t>Atorvastatin</w:t>
            </w:r>
          </w:p>
        </w:tc>
      </w:tr>
      <w:tr>
        <w:tc>
          <w:tcPr>
            <w:tcW w:type="dxa" w:w="1568"/>
          </w:tcPr>
          <w:p>
            <w:r>
              <w:t>9</w:t>
            </w:r>
          </w:p>
        </w:tc>
        <w:tc>
          <w:tcPr>
            <w:tcW w:type="dxa" w:w="1568"/>
          </w:tcPr>
          <w:p>
            <w:r>
              <w:t>IL10</w:t>
            </w:r>
          </w:p>
        </w:tc>
        <w:tc>
          <w:tcPr>
            <w:tcW w:type="dxa" w:w="1568"/>
          </w:tcPr>
          <w:p>
            <w:r>
              <w:t>cytokine signaling</w:t>
            </w:r>
          </w:p>
        </w:tc>
        <w:tc>
          <w:tcPr>
            <w:tcW w:type="dxa" w:w="1568"/>
          </w:tcPr>
          <w:p>
            <w:r>
              <w:t>GSE51808</w:t>
            </w:r>
          </w:p>
        </w:tc>
        <w:tc>
          <w:tcPr>
            <w:tcW w:type="dxa" w:w="1568"/>
          </w:tcPr>
          <w:p>
            <w:r>
              <w:t>0.454</w:t>
            </w:r>
          </w:p>
        </w:tc>
        <w:tc>
          <w:tcPr>
            <w:tcW w:type="dxa" w:w="1568"/>
          </w:tcPr>
          <w:p>
            <w:r>
              <w:t>No direct repurposed agent</w:t>
            </w:r>
          </w:p>
        </w:tc>
      </w:tr>
      <w:tr>
        <w:tc>
          <w:tcPr>
            <w:tcW w:type="dxa" w:w="1568"/>
          </w:tcPr>
          <w:p>
            <w:r>
              <w:t>10</w:t>
            </w:r>
          </w:p>
        </w:tc>
        <w:tc>
          <w:tcPr>
            <w:tcW w:type="dxa" w:w="1568"/>
          </w:tcPr>
          <w:p>
            <w:r>
              <w:t>F3</w:t>
            </w:r>
          </w:p>
        </w:tc>
        <w:tc>
          <w:tcPr>
            <w:tcW w:type="dxa" w:w="1568"/>
          </w:tcPr>
          <w:p>
            <w:r>
              <w:t>coagulation fibrinolysis</w:t>
            </w:r>
          </w:p>
        </w:tc>
        <w:tc>
          <w:tcPr>
            <w:tcW w:type="dxa" w:w="1568"/>
          </w:tcPr>
          <w:p>
            <w:r>
              <w:t>none</w:t>
            </w:r>
          </w:p>
        </w:tc>
        <w:tc>
          <w:tcPr>
            <w:tcW w:type="dxa" w:w="1568"/>
          </w:tcPr>
          <w:p>
            <w:r>
              <w:t>0.450</w:t>
            </w:r>
          </w:p>
        </w:tc>
        <w:tc>
          <w:tcPr>
            <w:tcW w:type="dxa" w:w="1568"/>
          </w:tcPr>
          <w:p>
            <w:r>
              <w:t>Fresh frozen plasma / coagulation monitoring</w:t>
            </w:r>
          </w:p>
        </w:tc>
      </w:tr>
      <w:tr>
        <w:tc>
          <w:tcPr>
            <w:tcW w:type="dxa" w:w="1568"/>
          </w:tcPr>
          <w:p>
            <w:r>
              <w:t>11</w:t>
            </w:r>
          </w:p>
        </w:tc>
        <w:tc>
          <w:tcPr>
            <w:tcW w:type="dxa" w:w="1568"/>
          </w:tcPr>
          <w:p>
            <w:r>
              <w:t>BDNF</w:t>
            </w:r>
          </w:p>
        </w:tc>
        <w:tc>
          <w:tcPr>
            <w:tcW w:type="dxa" w:w="1568"/>
          </w:tcPr>
          <w:p>
            <w:r>
              <w:t>neurological barrier</w:t>
            </w:r>
          </w:p>
        </w:tc>
        <w:tc>
          <w:tcPr>
            <w:tcW w:type="dxa" w:w="1568"/>
          </w:tcPr>
          <w:p>
            <w:r>
              <w:t>GSE43777</w:t>
            </w:r>
          </w:p>
        </w:tc>
        <w:tc>
          <w:tcPr>
            <w:tcW w:type="dxa" w:w="1568"/>
          </w:tcPr>
          <w:p>
            <w:r>
              <w:t>0.449</w:t>
            </w:r>
          </w:p>
        </w:tc>
        <w:tc>
          <w:tcPr>
            <w:tcW w:type="dxa" w:w="1568"/>
          </w:tcPr>
          <w:p>
            <w:r>
              <w:t>No direct repurposed agent</w:t>
            </w:r>
          </w:p>
        </w:tc>
      </w:tr>
      <w:tr>
        <w:tc>
          <w:tcPr>
            <w:tcW w:type="dxa" w:w="1568"/>
          </w:tcPr>
          <w:p>
            <w:r>
              <w:t>12</w:t>
            </w:r>
          </w:p>
        </w:tc>
        <w:tc>
          <w:tcPr>
            <w:tcW w:type="dxa" w:w="1568"/>
          </w:tcPr>
          <w:p>
            <w:r>
              <w:t>HMOX1</w:t>
            </w:r>
          </w:p>
        </w:tc>
        <w:tc>
          <w:tcPr>
            <w:tcW w:type="dxa" w:w="1568"/>
          </w:tcPr>
          <w:p>
            <w:r>
              <w:t>oxidative stress</w:t>
            </w:r>
          </w:p>
        </w:tc>
        <w:tc>
          <w:tcPr>
            <w:tcW w:type="dxa" w:w="1568"/>
          </w:tcPr>
          <w:p>
            <w:r>
              <w:t>none</w:t>
            </w:r>
          </w:p>
        </w:tc>
        <w:tc>
          <w:tcPr>
            <w:tcW w:type="dxa" w:w="1568"/>
          </w:tcPr>
          <w:p>
            <w:r>
              <w:t>0.449</w:t>
            </w:r>
          </w:p>
        </w:tc>
        <w:tc>
          <w:tcPr>
            <w:tcW w:type="dxa" w:w="1568"/>
          </w:tcPr>
          <w:p>
            <w:r>
              <w:t>N-acetylcysteine</w:t>
            </w:r>
          </w:p>
        </w:tc>
      </w:tr>
      <w:tr>
        <w:tc>
          <w:tcPr>
            <w:tcW w:type="dxa" w:w="1568"/>
          </w:tcPr>
          <w:p>
            <w:r>
              <w:t>13</w:t>
            </w:r>
          </w:p>
        </w:tc>
        <w:tc>
          <w:tcPr>
            <w:tcW w:type="dxa" w:w="1568"/>
          </w:tcPr>
          <w:p>
            <w:r>
              <w:t>VWF</w:t>
            </w:r>
          </w:p>
        </w:tc>
        <w:tc>
          <w:tcPr>
            <w:tcW w:type="dxa" w:w="1568"/>
          </w:tcPr>
          <w:p>
            <w:r>
              <w:t>endothelial barrier</w:t>
            </w:r>
          </w:p>
        </w:tc>
        <w:tc>
          <w:tcPr>
            <w:tcW w:type="dxa" w:w="1568"/>
          </w:tcPr>
          <w:p>
            <w:r>
              <w:t>none</w:t>
            </w:r>
          </w:p>
        </w:tc>
        <w:tc>
          <w:tcPr>
            <w:tcW w:type="dxa" w:w="1568"/>
          </w:tcPr>
          <w:p>
            <w:r>
              <w:t>0.448</w:t>
            </w:r>
          </w:p>
        </w:tc>
        <w:tc>
          <w:tcPr>
            <w:tcW w:type="dxa" w:w="1568"/>
          </w:tcPr>
          <w:p>
            <w:r>
              <w:t>Fresh frozen plasma / platelet support</w:t>
            </w:r>
          </w:p>
        </w:tc>
      </w:tr>
      <w:tr>
        <w:tc>
          <w:tcPr>
            <w:tcW w:type="dxa" w:w="1568"/>
          </w:tcPr>
          <w:p>
            <w:r>
              <w:t>14</w:t>
            </w:r>
          </w:p>
        </w:tc>
        <w:tc>
          <w:tcPr>
            <w:tcW w:type="dxa" w:w="1568"/>
          </w:tcPr>
          <w:p>
            <w:r>
              <w:t>PROCR</w:t>
            </w:r>
          </w:p>
        </w:tc>
        <w:tc>
          <w:tcPr>
            <w:tcW w:type="dxa" w:w="1568"/>
          </w:tcPr>
          <w:p>
            <w:r>
              <w:t>coagulation fibrinolysis</w:t>
            </w:r>
          </w:p>
        </w:tc>
        <w:tc>
          <w:tcPr>
            <w:tcW w:type="dxa" w:w="1568"/>
          </w:tcPr>
          <w:p>
            <w:r>
              <w:t>GSE43777</w:t>
            </w:r>
          </w:p>
        </w:tc>
        <w:tc>
          <w:tcPr>
            <w:tcW w:type="dxa" w:w="1568"/>
          </w:tcPr>
          <w:p>
            <w:r>
              <w:t>0.446</w:t>
            </w:r>
          </w:p>
        </w:tc>
        <w:tc>
          <w:tcPr>
            <w:tcW w:type="dxa" w:w="1568"/>
          </w:tcPr>
          <w:p>
            <w:r>
              <w:t>No direct repurposed agent</w:t>
            </w:r>
          </w:p>
        </w:tc>
      </w:tr>
      <w:tr>
        <w:tc>
          <w:tcPr>
            <w:tcW w:type="dxa" w:w="1568"/>
          </w:tcPr>
          <w:p>
            <w:r>
              <w:t>15</w:t>
            </w:r>
          </w:p>
        </w:tc>
        <w:tc>
          <w:tcPr>
            <w:tcW w:type="dxa" w:w="1568"/>
          </w:tcPr>
          <w:p>
            <w:r>
              <w:t>SERPINE1</w:t>
            </w:r>
          </w:p>
        </w:tc>
        <w:tc>
          <w:tcPr>
            <w:tcW w:type="dxa" w:w="1568"/>
          </w:tcPr>
          <w:p>
            <w:r>
              <w:t>coagulation fibrinolysis</w:t>
            </w:r>
          </w:p>
        </w:tc>
        <w:tc>
          <w:tcPr>
            <w:tcW w:type="dxa" w:w="1568"/>
          </w:tcPr>
          <w:p>
            <w:r>
              <w:t>none</w:t>
            </w:r>
          </w:p>
        </w:tc>
        <w:tc>
          <w:tcPr>
            <w:tcW w:type="dxa" w:w="1568"/>
          </w:tcPr>
          <w:p>
            <w:r>
              <w:t>0.442</w:t>
            </w:r>
          </w:p>
        </w:tc>
        <w:tc>
          <w:tcPr>
            <w:tcW w:type="dxa" w:w="1568"/>
          </w:tcPr>
          <w:p>
            <w:r>
              <w:t>Tranexamic acid</w:t>
            </w:r>
          </w:p>
        </w:tc>
      </w:tr>
    </w:tbl>
    <w:p/>
    <w:p>
      <w:r>
        <w:rPr>
          <w:b/>
        </w:rPr>
        <w:t>Table 2. Pathway-level prioritization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b/>
              </w:rPr>
              <w:t>Pathway</w:t>
            </w:r>
          </w:p>
        </w:tc>
        <w:tc>
          <w:tcPr>
            <w:tcW w:type="dxa" w:w="2351"/>
            <w:shd w:fill="D9E2F3"/>
          </w:tcPr>
          <w:p>
            <w:r>
              <w:rPr>
                <w:b/>
              </w:rPr>
              <w:t>Targets</w:t>
            </w:r>
          </w:p>
        </w:tc>
        <w:tc>
          <w:tcPr>
            <w:tcW w:type="dxa" w:w="2351"/>
            <w:shd w:fill="D9E2F3"/>
          </w:tcPr>
          <w:p>
            <w:r>
              <w:rPr>
                <w:b/>
              </w:rPr>
              <w:t>Mean score</w:t>
            </w:r>
          </w:p>
        </w:tc>
        <w:tc>
          <w:tcPr>
            <w:tcW w:type="dxa" w:w="2351"/>
            <w:shd w:fill="D9E2F3"/>
          </w:tcPr>
          <w:p>
            <w:r>
              <w:rPr>
                <w:b/>
              </w:rPr>
              <w:t>SD</w:t>
            </w:r>
          </w:p>
        </w:tc>
      </w:tr>
      <w:tr>
        <w:tc>
          <w:tcPr>
            <w:tcW w:type="dxa" w:w="2351"/>
          </w:tcPr>
          <w:p>
            <w:r>
              <w:t>cytokine signaling</w:t>
            </w:r>
          </w:p>
        </w:tc>
        <w:tc>
          <w:tcPr>
            <w:tcW w:type="dxa" w:w="2351"/>
          </w:tcPr>
          <w:p>
            <w:r>
              <w:t>15</w:t>
            </w:r>
          </w:p>
        </w:tc>
        <w:tc>
          <w:tcPr>
            <w:tcW w:type="dxa" w:w="2351"/>
          </w:tcPr>
          <w:p>
            <w:r>
              <w:t>0.474</w:t>
            </w:r>
          </w:p>
        </w:tc>
        <w:tc>
          <w:tcPr>
            <w:tcW w:type="dxa" w:w="2351"/>
          </w:tcPr>
          <w:p>
            <w:r>
              <w:t>0.085</w:t>
            </w:r>
          </w:p>
        </w:tc>
      </w:tr>
      <w:tr>
        <w:tc>
          <w:tcPr>
            <w:tcW w:type="dxa" w:w="2351"/>
          </w:tcPr>
          <w:p>
            <w:r>
              <w:t>coagulation fibrinolysis</w:t>
            </w:r>
          </w:p>
        </w:tc>
        <w:tc>
          <w:tcPr>
            <w:tcW w:type="dxa" w:w="2351"/>
          </w:tcPr>
          <w:p>
            <w:r>
              <w:t>9</w:t>
            </w:r>
          </w:p>
        </w:tc>
        <w:tc>
          <w:tcPr>
            <w:tcW w:type="dxa" w:w="2351"/>
          </w:tcPr>
          <w:p>
            <w:r>
              <w:t>0.406</w:t>
            </w:r>
          </w:p>
        </w:tc>
        <w:tc>
          <w:tcPr>
            <w:tcW w:type="dxa" w:w="2351"/>
          </w:tcPr>
          <w:p>
            <w:r>
              <w:t>0.033</w:t>
            </w:r>
          </w:p>
        </w:tc>
      </w:tr>
      <w:tr>
        <w:tc>
          <w:tcPr>
            <w:tcW w:type="dxa" w:w="2351"/>
          </w:tcPr>
          <w:p>
            <w:r>
              <w:t>endothelial barrier</w:t>
            </w:r>
          </w:p>
        </w:tc>
        <w:tc>
          <w:tcPr>
            <w:tcW w:type="dxa" w:w="2351"/>
          </w:tcPr>
          <w:p>
            <w:r>
              <w:t>8</w:t>
            </w:r>
          </w:p>
        </w:tc>
        <w:tc>
          <w:tcPr>
            <w:tcW w:type="dxa" w:w="2351"/>
          </w:tcPr>
          <w:p>
            <w:r>
              <w:t>0.403</w:t>
            </w:r>
          </w:p>
        </w:tc>
        <w:tc>
          <w:tcPr>
            <w:tcW w:type="dxa" w:w="2351"/>
          </w:tcPr>
          <w:p>
            <w:r>
              <w:t>0.054</w:t>
            </w:r>
          </w:p>
        </w:tc>
      </w:tr>
      <w:tr>
        <w:tc>
          <w:tcPr>
            <w:tcW w:type="dxa" w:w="2351"/>
          </w:tcPr>
          <w:p>
            <w:r>
              <w:t>platelet activation</w:t>
            </w:r>
          </w:p>
        </w:tc>
        <w:tc>
          <w:tcPr>
            <w:tcW w:type="dxa" w:w="2351"/>
          </w:tcPr>
          <w:p>
            <w:r>
              <w:t>6</w:t>
            </w:r>
          </w:p>
        </w:tc>
        <w:tc>
          <w:tcPr>
            <w:tcW w:type="dxa" w:w="2351"/>
          </w:tcPr>
          <w:p>
            <w:r>
              <w:t>0.398</w:t>
            </w:r>
          </w:p>
        </w:tc>
        <w:tc>
          <w:tcPr>
            <w:tcW w:type="dxa" w:w="2351"/>
          </w:tcPr>
          <w:p>
            <w:r>
              <w:t>0.018</w:t>
            </w:r>
          </w:p>
        </w:tc>
      </w:tr>
      <w:tr>
        <w:tc>
          <w:tcPr>
            <w:tcW w:type="dxa" w:w="2351"/>
          </w:tcPr>
          <w:p>
            <w:r>
              <w:t>neurological barrier</w:t>
            </w:r>
          </w:p>
        </w:tc>
        <w:tc>
          <w:tcPr>
            <w:tcW w:type="dxa" w:w="2351"/>
          </w:tcPr>
          <w:p>
            <w:r>
              <w:t>7</w:t>
            </w:r>
          </w:p>
        </w:tc>
        <w:tc>
          <w:tcPr>
            <w:tcW w:type="dxa" w:w="2351"/>
          </w:tcPr>
          <w:p>
            <w:r>
              <w:t>0.335</w:t>
            </w:r>
          </w:p>
        </w:tc>
        <w:tc>
          <w:tcPr>
            <w:tcW w:type="dxa" w:w="2351"/>
          </w:tcPr>
          <w:p>
            <w:r>
              <w:t>0.051</w:t>
            </w:r>
          </w:p>
        </w:tc>
      </w:tr>
      <w:tr>
        <w:tc>
          <w:tcPr>
            <w:tcW w:type="dxa" w:w="2351"/>
          </w:tcPr>
          <w:p>
            <w:r>
              <w:t>oxidative stress</w:t>
            </w:r>
          </w:p>
        </w:tc>
        <w:tc>
          <w:tcPr>
            <w:tcW w:type="dxa" w:w="2351"/>
          </w:tcPr>
          <w:p>
            <w:r>
              <w:t>5</w:t>
            </w:r>
          </w:p>
        </w:tc>
        <w:tc>
          <w:tcPr>
            <w:tcW w:type="dxa" w:w="2351"/>
          </w:tcPr>
          <w:p>
            <w:r>
              <w:t>0.331</w:t>
            </w:r>
          </w:p>
        </w:tc>
        <w:tc>
          <w:tcPr>
            <w:tcW w:type="dxa" w:w="2351"/>
          </w:tcPr>
          <w:p>
            <w:r>
              <w:t>0.066</w:t>
            </w:r>
          </w:p>
        </w:tc>
      </w:tr>
    </w:tbl>
    <w:p/>
    <w:p>
      <w:r>
        <w:rPr>
          <w:b/>
        </w:rPr>
        <w:t>Table 3. Hypothesis-generating candidate interventions linked to prioritized pathways.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b/>
              </w:rPr>
              <w:t>Candidate</w:t>
            </w:r>
          </w:p>
        </w:tc>
        <w:tc>
          <w:tcPr>
            <w:tcW w:type="dxa" w:w="1881"/>
            <w:shd w:fill="D9E2F3"/>
          </w:tcPr>
          <w:p>
            <w:r>
              <w:rPr>
                <w:b/>
              </w:rPr>
              <w:t>Target</w:t>
            </w:r>
          </w:p>
        </w:tc>
        <w:tc>
          <w:tcPr>
            <w:tcW w:type="dxa" w:w="1881"/>
            <w:shd w:fill="D9E2F3"/>
          </w:tcPr>
          <w:p>
            <w:r>
              <w:rPr>
                <w:b/>
              </w:rPr>
              <w:t>Pathway</w:t>
            </w:r>
          </w:p>
        </w:tc>
        <w:tc>
          <w:tcPr>
            <w:tcW w:type="dxa" w:w="1881"/>
            <w:shd w:fill="D9E2F3"/>
          </w:tcPr>
          <w:p>
            <w:r>
              <w:rPr>
                <w:b/>
              </w:rPr>
              <w:t>Evidence tier</w:t>
            </w:r>
          </w:p>
        </w:tc>
        <w:tc>
          <w:tcPr>
            <w:tcW w:type="dxa" w:w="1881"/>
            <w:shd w:fill="D9E2F3"/>
          </w:tcPr>
          <w:p>
            <w:r>
              <w:rPr>
                <w:b/>
              </w:rPr>
              <w:t>Interpretation</w:t>
            </w:r>
          </w:p>
        </w:tc>
      </w:tr>
      <w:tr>
        <w:tc>
          <w:tcPr>
            <w:tcW w:type="dxa" w:w="1881"/>
          </w:tcPr>
          <w:p>
            <w:r>
              <w:t>Fresh frozen plasma / coagulation monitoring</w:t>
            </w:r>
          </w:p>
        </w:tc>
        <w:tc>
          <w:tcPr>
            <w:tcW w:type="dxa" w:w="1881"/>
          </w:tcPr>
          <w:p>
            <w:r>
              <w:t>F3</w:t>
            </w:r>
          </w:p>
        </w:tc>
        <w:tc>
          <w:tcPr>
            <w:tcW w:type="dxa" w:w="1881"/>
          </w:tcPr>
          <w:p>
            <w:r>
              <w:t>coagulation fibrinolysis</w:t>
            </w:r>
          </w:p>
        </w:tc>
        <w:tc>
          <w:tcPr>
            <w:tcW w:type="dxa" w:w="1881"/>
          </w:tcPr>
          <w:p>
            <w:r>
              <w:t>supportive</w:t>
            </w:r>
          </w:p>
        </w:tc>
        <w:tc>
          <w:tcPr>
            <w:tcW w:type="dxa" w:w="1881"/>
          </w:tcPr>
          <w:p>
            <w:r>
              <w:t>Pathway-level supportive strategy, not direct blockade</w:t>
            </w:r>
          </w:p>
        </w:tc>
      </w:tr>
      <w:tr>
        <w:tc>
          <w:tcPr>
            <w:tcW w:type="dxa" w:w="1881"/>
          </w:tcPr>
          <w:p>
            <w:r>
              <w:t>Fresh frozen plasma / platelet support</w:t>
            </w:r>
          </w:p>
        </w:tc>
        <w:tc>
          <w:tcPr>
            <w:tcW w:type="dxa" w:w="1881"/>
          </w:tcPr>
          <w:p>
            <w:r>
              <w:t>VWF</w:t>
            </w:r>
          </w:p>
        </w:tc>
        <w:tc>
          <w:tcPr>
            <w:tcW w:type="dxa" w:w="1881"/>
          </w:tcPr>
          <w:p>
            <w:r>
              <w:t>endothelial barrier</w:t>
            </w:r>
          </w:p>
        </w:tc>
        <w:tc>
          <w:tcPr>
            <w:tcW w:type="dxa" w:w="1881"/>
          </w:tcPr>
          <w:p>
            <w:r>
              <w:t>supportive</w:t>
            </w:r>
          </w:p>
        </w:tc>
        <w:tc>
          <w:tcPr>
            <w:tcW w:type="dxa" w:w="1881"/>
          </w:tcPr>
          <w:p>
            <w:r>
              <w:t>Supportive care rather than target-specific inhibition</w:t>
            </w:r>
          </w:p>
        </w:tc>
      </w:tr>
      <w:tr>
        <w:tc>
          <w:tcPr>
            <w:tcW w:type="dxa" w:w="1881"/>
          </w:tcPr>
          <w:p>
            <w:r>
              <w:t>Tranexamic acid</w:t>
            </w:r>
          </w:p>
        </w:tc>
        <w:tc>
          <w:tcPr>
            <w:tcW w:type="dxa" w:w="1881"/>
          </w:tcPr>
          <w:p>
            <w:r>
              <w:t>SERPINE1</w:t>
            </w:r>
          </w:p>
        </w:tc>
        <w:tc>
          <w:tcPr>
            <w:tcW w:type="dxa" w:w="1881"/>
          </w:tcPr>
          <w:p>
            <w:r>
              <w:t>coagulation fibrinolysis</w:t>
            </w:r>
          </w:p>
        </w:tc>
        <w:tc>
          <w:tcPr>
            <w:tcW w:type="dxa" w:w="1881"/>
          </w:tcPr>
          <w:p>
            <w:r>
              <w:t>supportive</w:t>
            </w:r>
          </w:p>
        </w:tc>
        <w:tc>
          <w:tcPr>
            <w:tcW w:type="dxa" w:w="1881"/>
          </w:tcPr>
          <w:p>
            <w:r>
              <w:t>Hypothesis-generating bleeding-control adjunct aligned to fibrinolysis imbalance</w:t>
            </w:r>
          </w:p>
        </w:tc>
      </w:tr>
      <w:tr>
        <w:tc>
          <w:tcPr>
            <w:tcW w:type="dxa" w:w="1881"/>
          </w:tcPr>
          <w:p>
            <w:r>
              <w:t>Anakinra</w:t>
            </w:r>
          </w:p>
        </w:tc>
        <w:tc>
          <w:tcPr>
            <w:tcW w:type="dxa" w:w="1881"/>
          </w:tcPr>
          <w:p>
            <w:r>
              <w:t>IL1B</w:t>
            </w:r>
          </w:p>
        </w:tc>
        <w:tc>
          <w:tcPr>
            <w:tcW w:type="dxa" w:w="1881"/>
          </w:tcPr>
          <w:p>
            <w:r>
              <w:t>cytokine signaling</w:t>
            </w:r>
          </w:p>
        </w:tc>
        <w:tc>
          <w:tcPr>
            <w:tcW w:type="dxa" w:w="1881"/>
          </w:tcPr>
          <w:p>
            <w:r>
              <w:t>moderate</w:t>
            </w:r>
          </w:p>
        </w:tc>
        <w:tc>
          <w:tcPr>
            <w:tcW w:type="dxa" w:w="1881"/>
          </w:tcPr>
          <w:p>
            <w:r>
              <w:t>Target-matched anti-inflammatory biologic; specialist or research setting only</w:t>
            </w:r>
          </w:p>
        </w:tc>
      </w:tr>
      <w:tr>
        <w:tc>
          <w:tcPr>
            <w:tcW w:type="dxa" w:w="1881"/>
          </w:tcPr>
          <w:p>
            <w:r>
              <w:t>Tocilizumab</w:t>
            </w:r>
          </w:p>
        </w:tc>
        <w:tc>
          <w:tcPr>
            <w:tcW w:type="dxa" w:w="1881"/>
          </w:tcPr>
          <w:p>
            <w:r>
              <w:t>IL6</w:t>
            </w:r>
          </w:p>
        </w:tc>
        <w:tc>
          <w:tcPr>
            <w:tcW w:type="dxa" w:w="1881"/>
          </w:tcPr>
          <w:p>
            <w:r>
              <w:t>cytokine signaling</w:t>
            </w:r>
          </w:p>
        </w:tc>
        <w:tc>
          <w:tcPr>
            <w:tcW w:type="dxa" w:w="1881"/>
          </w:tcPr>
          <w:p>
            <w:r>
              <w:t>moderate</w:t>
            </w:r>
          </w:p>
        </w:tc>
        <w:tc>
          <w:tcPr>
            <w:tcW w:type="dxa" w:w="1881"/>
          </w:tcPr>
          <w:p>
            <w:r>
              <w:t>Target-matched anti-inflammatory biologic; specialist or research setting only</w:t>
            </w:r>
          </w:p>
        </w:tc>
      </w:tr>
      <w:tr>
        <w:tc>
          <w:tcPr>
            <w:tcW w:type="dxa" w:w="1881"/>
          </w:tcPr>
          <w:p>
            <w:r>
              <w:t>Pentoxifylline</w:t>
            </w:r>
          </w:p>
        </w:tc>
        <w:tc>
          <w:tcPr>
            <w:tcW w:type="dxa" w:w="1881"/>
          </w:tcPr>
          <w:p>
            <w:r>
              <w:t>TNF</w:t>
            </w:r>
          </w:p>
        </w:tc>
        <w:tc>
          <w:tcPr>
            <w:tcW w:type="dxa" w:w="1881"/>
          </w:tcPr>
          <w:p>
            <w:r>
              <w:t>cytokine signaling</w:t>
            </w:r>
          </w:p>
        </w:tc>
        <w:tc>
          <w:tcPr>
            <w:tcW w:type="dxa" w:w="1881"/>
          </w:tcPr>
          <w:p>
            <w:r>
              <w:t>moderate</w:t>
            </w:r>
          </w:p>
        </w:tc>
        <w:tc>
          <w:tcPr>
            <w:tcW w:type="dxa" w:w="1881"/>
          </w:tcPr>
          <w:p>
            <w:r>
              <w:t>Indirect TNF-modulating repurposing candidate</w:t>
            </w:r>
          </w:p>
        </w:tc>
      </w:tr>
      <w:tr>
        <w:tc>
          <w:tcPr>
            <w:tcW w:type="dxa" w:w="1881"/>
          </w:tcPr>
          <w:p>
            <w:r>
              <w:t>Atorvastatin</w:t>
            </w:r>
          </w:p>
        </w:tc>
        <w:tc>
          <w:tcPr>
            <w:tcW w:type="dxa" w:w="1881"/>
          </w:tcPr>
          <w:p>
            <w:r>
              <w:t>ANGPT2</w:t>
            </w:r>
          </w:p>
        </w:tc>
        <w:tc>
          <w:tcPr>
            <w:tcW w:type="dxa" w:w="1881"/>
          </w:tcPr>
          <w:p>
            <w:r>
              <w:t>endothelial barrier</w:t>
            </w:r>
          </w:p>
        </w:tc>
        <w:tc>
          <w:tcPr>
            <w:tcW w:type="dxa" w:w="1881"/>
          </w:tcPr>
          <w:p>
            <w:r>
              <w:t>moderate</w:t>
            </w:r>
          </w:p>
        </w:tc>
        <w:tc>
          <w:tcPr>
            <w:tcW w:type="dxa" w:w="1881"/>
          </w:tcPr>
          <w:p>
            <w:r>
              <w:t>Mechanistic endothelial-stabilization hypothesis rather than direct antagonism</w:t>
            </w:r>
          </w:p>
        </w:tc>
      </w:tr>
      <w:tr>
        <w:tc>
          <w:tcPr>
            <w:tcW w:type="dxa" w:w="1881"/>
          </w:tcPr>
          <w:p>
            <w:r>
              <w:t>N-acetylcysteine</w:t>
            </w:r>
          </w:p>
        </w:tc>
        <w:tc>
          <w:tcPr>
            <w:tcW w:type="dxa" w:w="1881"/>
          </w:tcPr>
          <w:p>
            <w:r>
              <w:t>HMOX1</w:t>
            </w:r>
          </w:p>
        </w:tc>
        <w:tc>
          <w:tcPr>
            <w:tcW w:type="dxa" w:w="1881"/>
          </w:tcPr>
          <w:p>
            <w:r>
              <w:t>oxidative stress</w:t>
            </w:r>
          </w:p>
        </w:tc>
        <w:tc>
          <w:tcPr>
            <w:tcW w:type="dxa" w:w="1881"/>
          </w:tcPr>
          <w:p>
            <w:r>
              <w:t>moderate</w:t>
            </w:r>
          </w:p>
        </w:tc>
        <w:tc>
          <w:tcPr>
            <w:tcW w:type="dxa" w:w="1881"/>
          </w:tcPr>
          <w:p>
            <w:r>
              <w:t>Redox-modulating adjunct hypothesis</w:t>
            </w:r>
          </w:p>
        </w:tc>
      </w:tr>
    </w:tbl>
    <w:p/>
    <w:p>
      <w:r>
        <w:rPr>
          <w:b/>
        </w:rPr>
        <w:t>Figure 1. Discovery cohorts used in the revision. Bars show severe and non-severe sample counts per dataset; no inferential statistics are displayed because this panel is descriptive.</w:t>
      </w:r>
    </w:p>
    <w:p>
      <w:pPr>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figure1_discovery_cohorts.png"/>
                    <pic:cNvPicPr/>
                  </pic:nvPicPr>
                  <pic:blipFill>
                    <a:blip r:embed="rId9"/>
                    <a:stretch>
                      <a:fillRect/>
                    </a:stretch>
                  </pic:blipFill>
                  <pic:spPr>
                    <a:xfrm>
                      <a:off x="0" y="0"/>
                      <a:ext cx="5212080" cy="3257550"/>
                    </a:xfrm>
                    <a:prstGeom prst="rect"/>
                  </pic:spPr>
                </pic:pic>
              </a:graphicData>
            </a:graphic>
          </wp:inline>
        </w:drawing>
      </w:r>
    </w:p>
    <w:p/>
    <w:p>
      <w:r>
        <w:rPr>
          <w:b/>
        </w:rPr>
        <w:t>Figure 2. Top 20 ranked targets. Horizontal bars show the composite priority score; colors denote pathway assignment.</w:t>
      </w:r>
    </w:p>
    <w:p>
      <w:pPr>
        <w:jc w:val="center"/>
      </w:pPr>
      <w:r>
        <w:drawing>
          <wp:inline xmlns:a="http://schemas.openxmlformats.org/drawingml/2006/main" xmlns:pic="http://schemas.openxmlformats.org/drawingml/2006/picture">
            <wp:extent cx="5212080" cy="4053840"/>
            <wp:docPr id="2" name="Picture 2"/>
            <wp:cNvGraphicFramePr>
              <a:graphicFrameLocks noChangeAspect="1"/>
            </wp:cNvGraphicFramePr>
            <a:graphic>
              <a:graphicData uri="http://schemas.openxmlformats.org/drawingml/2006/picture">
                <pic:pic>
                  <pic:nvPicPr>
                    <pic:cNvPr id="0" name="figure2_target_ranking.png"/>
                    <pic:cNvPicPr/>
                  </pic:nvPicPr>
                  <pic:blipFill>
                    <a:blip r:embed="rId10"/>
                    <a:stretch>
                      <a:fillRect/>
                    </a:stretch>
                  </pic:blipFill>
                  <pic:spPr>
                    <a:xfrm>
                      <a:off x="0" y="0"/>
                      <a:ext cx="5212080" cy="4053840"/>
                    </a:xfrm>
                    <a:prstGeom prst="rect"/>
                  </pic:spPr>
                </pic:pic>
              </a:graphicData>
            </a:graphic>
          </wp:inline>
        </w:drawing>
      </w:r>
    </w:p>
    <w:p/>
    <w:p>
      <w:r>
        <w:rPr>
          <w:b/>
        </w:rPr>
        <w:t>Figure 3. Cross-cohort transcriptomic evidence across the prespecified 50-gene panel. Values are cohort-specific severe-versus-non-severe log2 fold-changes.</w:t>
      </w:r>
    </w:p>
    <w:p>
      <w:pPr>
        <w:jc w:val="center"/>
      </w:pPr>
      <w:r>
        <w:drawing>
          <wp:inline xmlns:a="http://schemas.openxmlformats.org/drawingml/2006/main" xmlns:pic="http://schemas.openxmlformats.org/drawingml/2006/picture">
            <wp:extent cx="5212080" cy="7445829"/>
            <wp:docPr id="3" name="Picture 3"/>
            <wp:cNvGraphicFramePr>
              <a:graphicFrameLocks noChangeAspect="1"/>
            </wp:cNvGraphicFramePr>
            <a:graphic>
              <a:graphicData uri="http://schemas.openxmlformats.org/drawingml/2006/picture">
                <pic:pic>
                  <pic:nvPicPr>
                    <pic:cNvPr id="0" name="figure3_signature_heatmap.png"/>
                    <pic:cNvPicPr/>
                  </pic:nvPicPr>
                  <pic:blipFill>
                    <a:blip r:embed="rId11"/>
                    <a:stretch>
                      <a:fillRect/>
                    </a:stretch>
                  </pic:blipFill>
                  <pic:spPr>
                    <a:xfrm>
                      <a:off x="0" y="0"/>
                      <a:ext cx="5212080" cy="7445829"/>
                    </a:xfrm>
                    <a:prstGeom prst="rect"/>
                  </pic:spPr>
                </pic:pic>
              </a:graphicData>
            </a:graphic>
          </wp:inline>
        </w:drawing>
      </w:r>
    </w:p>
    <w:p/>
    <w:p>
      <w:r>
        <w:rPr>
          <w:b/>
        </w:rPr>
        <w:t>Figure 4. Mean pathway scores across the full 50-gene panel. Bars show the average composite score by pathway module.</w:t>
      </w:r>
    </w:p>
    <w:p>
      <w:pPr>
        <w:jc w:val="center"/>
      </w:pPr>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figure4_pathway_scores.png"/>
                    <pic:cNvPicPr/>
                  </pic:nvPicPr>
                  <pic:blipFill>
                    <a:blip r:embed="rId12"/>
                    <a:stretch>
                      <a:fillRect/>
                    </a:stretch>
                  </pic:blipFill>
                  <pic:spPr>
                    <a:xfrm>
                      <a:off x="0" y="0"/>
                      <a:ext cx="5212080" cy="3257550"/>
                    </a:xfrm>
                    <a:prstGeom prst="rect"/>
                  </pic:spPr>
                </pic:pic>
              </a:graphicData>
            </a:graphic>
          </wp:inline>
        </w:drawing>
      </w:r>
    </w:p>
    <w:p/>
    <w:p>
      <w:r>
        <w:rPr>
          <w:b/>
        </w:rPr>
        <w:t>Figure 5. Candidate interventions linked to top-ranked targets. This is a summary visualization of the hypothesis-generating shortlist rather than a clinical recommendation algorithm.</w:t>
      </w:r>
    </w:p>
    <w:p>
      <w:pPr>
        <w:jc w:val="center"/>
      </w:pPr>
      <w:r>
        <w:drawing>
          <wp:inline xmlns:a="http://schemas.openxmlformats.org/drawingml/2006/main" xmlns:pic="http://schemas.openxmlformats.org/drawingml/2006/picture">
            <wp:extent cx="5212080" cy="2606040"/>
            <wp:docPr id="5" name="Picture 5"/>
            <wp:cNvGraphicFramePr>
              <a:graphicFrameLocks noChangeAspect="1"/>
            </wp:cNvGraphicFramePr>
            <a:graphic>
              <a:graphicData uri="http://schemas.openxmlformats.org/drawingml/2006/picture">
                <pic:pic>
                  <pic:nvPicPr>
                    <pic:cNvPr id="0" name="figure5_candidate_table.png"/>
                    <pic:cNvPicPr/>
                  </pic:nvPicPr>
                  <pic:blipFill>
                    <a:blip r:embed="rId13"/>
                    <a:stretch>
                      <a:fillRect/>
                    </a:stretch>
                  </pic:blipFill>
                  <pic:spPr>
                    <a:xfrm>
                      <a:off x="0" y="0"/>
                      <a:ext cx="5212080" cy="2606040"/>
                    </a:xfrm>
                    <a:prstGeom prst="rect"/>
                  </pic:spPr>
                </pic:pic>
              </a:graphicData>
            </a:graphic>
          </wp:inline>
        </w:drawing>
      </w:r>
    </w:p>
    <w:p/>
    <w:p>
      <w:pPr>
        <w:pStyle w:val="Heading1"/>
      </w:pPr>
      <w:r>
        <w:t>DISCUSSION</w:t>
      </w:r>
    </w:p>
    <w:p>
      <w:r>
        <w:t>The revised analysis supports a narrower claim than the original submission. The dominant signal in the public flaviviral severity datasets was inflammatory and interferon-associated, not endothelial biology alone. This is why cytokine signaling now ranks highest at the pathway level. The revised text therefore avoids overstating endothelial pathways as the principal transcriptomic finding.</w:t>
      </w:r>
    </w:p>
    <w:p>
      <w:r>
        <w:t>Endothelial and coagulation pathways nonetheless remain translationally important for KFD. ANGPT2, F3, VWF, PROCR, and SERPINE1 remained within the top 15 targets, and those modules align with the vascular leak and bleeding phenotype that clinicians actually face in KFD.</w:t>
      </w:r>
      <w:r>
        <w:rPr>
          <w:vertAlign w:val="superscript"/>
        </w:rPr>
        <w:t>[14-18]</w:t>
      </w:r>
      <w:r>
        <w:t xml:space="preserve"> Their evidentiary basis in this revision is weaker than that for inflammatory signaling, so they should be interpreted as clinically motivated mechanistic hypotheses rather than transcriptomically validated KFD drivers.</w:t>
      </w:r>
    </w:p>
    <w:p>
      <w:r>
        <w:t>The revised drug interpretation is intentionally conservative. Anakinra and tocilizumab emerge because they match top-ranked inflammatory targets, but they are specialist interventions and not realistic district-hospital defaults. Atorvastatin, tranexamic acid, and N-acetylcysteine remain of interest because they are lower-cost and mechanistically plausible, but the manuscript now describes them as candidates for staged preclinical or clinical evaluation rather than recommended treatment for routine use.</w:t>
      </w:r>
    </w:p>
    <w:p>
      <w:r>
        <w:t>This revision also narrows the biological extrapolation. The prior version referred broadly to viral hemorrhagic fevers and listed datasets that were not always directly relevant. The current revision limits discovery to human dengue severity cohorts, which are still imperfect proxies for KFD but are more justifiable because they share flaviviral biology and clinically relevant vascular manifestations.</w:t>
      </w:r>
      <w:r>
        <w:rPr>
          <w:vertAlign w:val="superscript"/>
        </w:rPr>
        <w:t>[9-11,14,17]</w:t>
      </w:r>
      <w:r>
        <w:t xml:space="preserve"> Even with this narrower scope, tissue tropism, timing, and host-population differences remain major sources of uncertainty.</w:t>
      </w:r>
    </w:p>
    <w:p>
      <w:pPr>
        <w:pStyle w:val="Heading2"/>
      </w:pPr>
      <w:r>
        <w:t>LIMITATIONS</w:t>
      </w:r>
    </w:p>
    <w:p>
      <w:r>
        <w:t>No KFD-specific transcriptomic dataset was available. All omics evidence therefore comes from dengue, not KFD, and only blood-derived transcriptomes were analyzed. The 50-gene panel is prespecified and mechanistic rather than an unbiased genome-wide discovery signature. Drug-to-target links were used for prioritization only and do not establish efficacy, safety, or dosing in KFD. Experimental validation, animal models, and prospective clinical studies remain necessary before any therapeutic use.</w:t>
      </w:r>
    </w:p>
    <w:p>
      <w:pPr>
        <w:pStyle w:val="Heading1"/>
      </w:pPr>
      <w:r>
        <w:t>CONCLUSIONS</w:t>
      </w:r>
    </w:p>
    <w:p>
      <w:r>
        <w:t>The revised manuscript should be interpreted as a transparent transcriptomic prioritization framework for KFD, not as a validated multi-omics discovery study. Severe flaviviral blood-response data prioritize inflammatory signaling overall, while endothelial and coagulation modules remain mechanistically and clinically relevant hypotheses for host-directed therapy development in KFD.</w:t>
      </w:r>
    </w:p>
    <w:p>
      <w:r>
        <w:br w:type="page"/>
      </w:r>
    </w:p>
    <w:p>
      <w:pPr>
        <w:pStyle w:val="Heading1"/>
      </w:pPr>
      <w:r>
        <w:t>REFERENCES</w:t>
      </w:r>
    </w:p>
    <w:p>
      <w:pPr>
        <w:ind w:hanging="360" w:left="360"/>
      </w:pPr>
      <w:r>
        <w:rPr>
          <w:b/>
        </w:rPr>
        <w:t xml:space="preserve">1. </w:t>
      </w:r>
      <w:r>
        <w:t>Work TH, Trapido H, Murthy DP, Rao RL, Bhatt PN, Kulkarni KG. Kyasanur forest disease. III. A preliminary report on the nature of the infection and clinical manifestations in man. Indian J Med Sci 1957;11:619-45.</w:t>
      </w:r>
    </w:p>
    <w:p>
      <w:pPr>
        <w:ind w:hanging="360" w:left="360"/>
      </w:pPr>
      <w:r>
        <w:rPr>
          <w:b/>
        </w:rPr>
        <w:t xml:space="preserve">2. </w:t>
      </w:r>
      <w:r>
        <w:t>Pattnaik P. Kyasanur forest disease: an epidemiological view in India. Rev Med Virol 2006;16:151-65.</w:t>
      </w:r>
    </w:p>
    <w:p>
      <w:pPr>
        <w:ind w:hanging="360" w:left="360"/>
      </w:pPr>
      <w:r>
        <w:rPr>
          <w:b/>
        </w:rPr>
        <w:t xml:space="preserve">3. </w:t>
      </w:r>
      <w:r>
        <w:t>Murhekar MV, Kasabi GS, Mehendale SM, Mourya DT, Yadav PD, Tandale BV, et al. On the transmission pattern of Kyasanur Forest Disease (KFD) in India. Infect Dis Poverty 2015;4:37.</w:t>
      </w:r>
    </w:p>
    <w:p>
      <w:pPr>
        <w:ind w:hanging="360" w:left="360"/>
      </w:pPr>
      <w:r>
        <w:rPr>
          <w:b/>
        </w:rPr>
        <w:t xml:space="preserve">4. </w:t>
      </w:r>
      <w:r>
        <w:t>Holbrook MR. Kyasanur forest disease. Antiviral Res 2012;96:353-62.</w:t>
      </w:r>
    </w:p>
    <w:p>
      <w:pPr>
        <w:ind w:hanging="360" w:left="360"/>
      </w:pPr>
      <w:r>
        <w:rPr>
          <w:b/>
        </w:rPr>
        <w:t xml:space="preserve">5. </w:t>
      </w:r>
      <w:r>
        <w:t>Kasabi GS, Murhekar MV, Sandhya VK, Raghunandan R, Kiran SK, Channabasappa GH, et al. Coverage and effectiveness of Kyasanur forest disease vaccine in Karnataka, South India, 2005-10. PLoS Negl Trop Dis 2013;7:e2025.</w:t>
      </w:r>
    </w:p>
    <w:p>
      <w:pPr>
        <w:ind w:hanging="360" w:left="360"/>
      </w:pPr>
      <w:r>
        <w:rPr>
          <w:b/>
        </w:rPr>
        <w:t xml:space="preserve">6. </w:t>
      </w:r>
      <w:r>
        <w:t>Kaufmann SHE, Dorhoi A, Hotchkiss RS, Bartenschlager R. Host-directed therapies for bacterial and viral infections. Nat Rev Drug Discov 2018;17:35-56.</w:t>
      </w:r>
    </w:p>
    <w:p>
      <w:pPr>
        <w:ind w:hanging="360" w:left="360"/>
      </w:pPr>
      <w:r>
        <w:rPr>
          <w:b/>
        </w:rPr>
        <w:t xml:space="preserve">7. </w:t>
      </w:r>
      <w:r>
        <w:t>Zumla A, Rao M, Wallis RS, Kaufmann SH, Rustomjee R, Mwaba P, et al. Host-directed therapies for infectious diseases: current status, recent progress, and future prospects. Lancet Infect Dis 2016;16:e47-63.</w:t>
      </w:r>
    </w:p>
    <w:p>
      <w:pPr>
        <w:ind w:hanging="360" w:left="360"/>
      </w:pPr>
      <w:r>
        <w:rPr>
          <w:b/>
        </w:rPr>
        <w:t xml:space="preserve">8. </w:t>
      </w:r>
      <w:r>
        <w:t>Barrett T, Wilhite SE, Ledoux P, Evangelista C, Kim IF, Tomashevsky M, et al. NCBI GEO: archive for functional genomics data sets-update. Nucleic Acids Res 2013;41:D991-5.</w:t>
      </w:r>
    </w:p>
    <w:p>
      <w:pPr>
        <w:ind w:hanging="360" w:left="360"/>
      </w:pPr>
      <w:r>
        <w:rPr>
          <w:b/>
        </w:rPr>
        <w:t xml:space="preserve">9. </w:t>
      </w:r>
      <w:r>
        <w:t>Nascimento EJ, Braga-Neto U, Calzavara-Silva CE, Gomes AL, Abath FG, Brito CA, et al. Gene expression profiling during early acute febrile stage of dengue infection can predict the disease outcome. PLoS One 2009;4:e7892.</w:t>
      </w:r>
    </w:p>
    <w:p>
      <w:pPr>
        <w:ind w:hanging="360" w:left="360"/>
      </w:pPr>
      <w:r>
        <w:rPr>
          <w:b/>
        </w:rPr>
        <w:t xml:space="preserve">10. </w:t>
      </w:r>
      <w:r>
        <w:t>Sun P, Garcia J, Comach G, Vahey MT, Wang Z, Forshey BM, et al. Sequential waves of gene expression in patients with clinically defined dengue illnesses reveal subtle disease phases and predict disease severity. PLoS Negl Trop Dis 2013;7:e2298.</w:t>
      </w:r>
    </w:p>
    <w:p>
      <w:pPr>
        <w:ind w:hanging="360" w:left="360"/>
      </w:pPr>
      <w:r>
        <w:rPr>
          <w:b/>
        </w:rPr>
        <w:t xml:space="preserve">11. </w:t>
      </w:r>
      <w:r>
        <w:t>Kwissa M, Nakaya HI, Onlamoon N, Wrammert J, Villinger F, Perng GC, et al. Dengue virus infection induces expansion of a CD14+CD16+ monocyte population that stimulates plasmablast differentiation. Cell Host Microbe 2014;16:115-27.</w:t>
      </w:r>
    </w:p>
    <w:p>
      <w:pPr>
        <w:ind w:hanging="360" w:left="360"/>
      </w:pPr>
      <w:r>
        <w:rPr>
          <w:b/>
        </w:rPr>
        <w:t xml:space="preserve">12. </w:t>
      </w:r>
      <w:r>
        <w:t>Gillespie M, Jassal B, Stephan R, Milacic M, Rothfels K, Senff-Ribeiro A, et al. The Reactome pathway knowledgebase 2022. Nucleic Acids Res 2022;50:D687-92.</w:t>
      </w:r>
    </w:p>
    <w:p>
      <w:pPr>
        <w:ind w:hanging="360" w:left="360"/>
      </w:pPr>
      <w:r>
        <w:rPr>
          <w:b/>
        </w:rPr>
        <w:t xml:space="preserve">13. </w:t>
      </w:r>
      <w:r>
        <w:t>Zdrazil B, Felix E, Hunter F, Manners EJ, Blackshaw J, Corbett S, et al. The ChEMBL Database in 2023: a drug discovery platform spanning multiple bioactivity data types and time periods. Nucleic Acids Res 2024;52:D1180-92.</w:t>
      </w:r>
    </w:p>
    <w:p>
      <w:pPr>
        <w:ind w:hanging="360" w:left="360"/>
      </w:pPr>
      <w:r>
        <w:rPr>
          <w:b/>
        </w:rPr>
        <w:t xml:space="preserve">14. </w:t>
      </w:r>
      <w:r>
        <w:t>Simmons CP, Farrar JJ, Nguyen vV, Wills B. Dengue. N Engl J Med 2012;366:1423-32.</w:t>
      </w:r>
    </w:p>
    <w:p>
      <w:pPr>
        <w:ind w:hanging="360" w:left="360"/>
      </w:pPr>
      <w:r>
        <w:rPr>
          <w:b/>
        </w:rPr>
        <w:t xml:space="preserve">15. </w:t>
      </w:r>
      <w:r>
        <w:t>Modhiran N, Watterson D, Muller DA, Panetta AK, Sester DP, Liu L, et al. Dengue virus NS1 protein activates cells via Toll-like receptor 4 and disrupts endothelial cell monolayer integrity. Sci Transl Med 2015;7:304ra142.</w:t>
      </w:r>
    </w:p>
    <w:p>
      <w:pPr>
        <w:ind w:hanging="360" w:left="360"/>
      </w:pPr>
      <w:r>
        <w:rPr>
          <w:b/>
        </w:rPr>
        <w:t xml:space="preserve">16. </w:t>
      </w:r>
      <w:r>
        <w:t>Bray M. Pathogenesis of viral hemorrhagic fever. Curr Opin Immunol 2005;17:399-403.</w:t>
      </w:r>
    </w:p>
    <w:p>
      <w:pPr>
        <w:ind w:hanging="360" w:left="360"/>
      </w:pPr>
      <w:r>
        <w:rPr>
          <w:b/>
        </w:rPr>
        <w:t xml:space="preserve">17. </w:t>
      </w:r>
      <w:r>
        <w:t>Yacoub S, Wills B. Predicting outcome from dengue. BMC Med 2014;12:147.</w:t>
      </w:r>
    </w:p>
    <w:p>
      <w:pPr>
        <w:ind w:hanging="360" w:left="360"/>
      </w:pPr>
      <w:r>
        <w:rPr>
          <w:b/>
        </w:rPr>
        <w:t xml:space="preserve">18. </w:t>
      </w:r>
      <w:r>
        <w:t>Roberts I, Shakur H, Coats T, Hunt B, Balogun E, Barnetson L, et al. The CRASH-2 trial: a randomised controlled trial and economic evaluation of the effects of tranexamic acid on death, vascular occlusive events and transfusion requirement in bleeding trauma patients. Health Technol Assess 2013;17:1-79.</w:t>
      </w:r>
    </w:p>
    <w:p>
      <w:pPr>
        <w:ind w:hanging="360" w:left="360"/>
      </w:pPr>
      <w:r>
        <w:rPr>
          <w:b/>
        </w:rPr>
        <w:t xml:space="preserve">19. </w:t>
      </w:r>
      <w:r>
        <w:t>Kiran SK, Padamashree S, Jayashree K, Srinath S. Health-care-seeking behaviour among Kyasanur forest disease patients in Shivamogga district, Karnataka: a cross-sectional study. Indian J Community Med 2021;46:486-9.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