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8"/>
        </w:rPr>
        <w:t>Response to Reviewers</w:t>
      </w:r>
    </w:p>
    <w:p>
      <w:r>
        <w:t>Manuscript title: A Cross-Flaviviral Transcriptomic Prioritization Framework for Host-Directed Therapy in Kyasanur Forest Disease</w:t>
      </w:r>
    </w:p>
    <w:p>
      <w:r>
        <w:t>Summary: The analysis and manuscript were rebuilt to address reproducibility, accuracy, and overstatement concerns.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r>
              <w:rPr>
                <w:b/>
              </w:rPr>
              <w:t>Reviewer Comment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Response</w:t>
            </w:r>
          </w:p>
        </w:tc>
        <w:tc>
          <w:tcPr>
            <w:tcW w:type="dxa" w:w="3135"/>
            <w:shd w:fill="D9E2F3"/>
          </w:tcPr>
          <w:p>
            <w:r>
              <w:rPr>
                <w:b/>
              </w:rPr>
              <w:t>Location in Revision</w:t>
            </w:r>
          </w:p>
        </w:tc>
      </w:tr>
      <w:tr>
        <w:tc>
          <w:tcPr>
            <w:tcW w:type="dxa" w:w="3135"/>
          </w:tcPr>
          <w:p>
            <w:r>
              <w:t>1. Methodology transparency is insufficient / gene signature derivation unclear.</w:t>
            </w:r>
          </w:p>
        </w:tc>
        <w:tc>
          <w:tcPr>
            <w:tcW w:type="dxa" w:w="3135"/>
          </w:tcPr>
          <w:p>
            <w:r>
              <w:t>The manuscript no longer presents the panel as an unexplained KFD-specific signature. We now state explicitly that the 50-gene panel is a prespecified mechanistic host-response panel anchored to Reactome-supported modules and rescored against three public dengue severity cohorts. Preprocessing, probe collapsing, log2 transformation rules, severe-vs-nonsevere contrasts, and multiple-testing correction are described in detail.</w:t>
            </w:r>
          </w:p>
        </w:tc>
        <w:tc>
          <w:tcPr>
            <w:tcW w:type="dxa" w:w="3135"/>
          </w:tcPr>
          <w:p>
            <w:r>
              <w:t>Methods: Dataset selection, preprocessing, gene-panel construction; Supplementary Methods and Tables S1-S2</w:t>
            </w:r>
          </w:p>
        </w:tc>
      </w:tr>
      <w:tr>
        <w:tc>
          <w:tcPr>
            <w:tcW w:type="dxa" w:w="3135"/>
          </w:tcPr>
          <w:p>
            <w:r>
              <w:t>2. Composite scoring system is insufficiently defined.</w:t>
            </w:r>
          </w:p>
        </w:tc>
        <w:tc>
          <w:tcPr>
            <w:tcW w:type="dxa" w:w="3135"/>
          </w:tcPr>
          <w:p>
            <w:r>
              <w:t>The previous opaque score was replaced with a deterministic formula: 0.45×omics + 0.20×tractability + 0.20×pathway relevance + 0.15×clinical-phase relevance. Each component is explicitly defined, normalized, and accompanied by a weight-sensitivity analysis.</w:t>
            </w:r>
          </w:p>
        </w:tc>
        <w:tc>
          <w:tcPr>
            <w:tcW w:type="dxa" w:w="3135"/>
          </w:tcPr>
          <w:p>
            <w:r>
              <w:t>Methods: Composite scoring and sensitivity analysis; Supplementary Table S4</w:t>
            </w:r>
          </w:p>
        </w:tc>
      </w:tr>
      <w:tr>
        <w:tc>
          <w:tcPr>
            <w:tcW w:type="dxa" w:w="3135"/>
          </w:tcPr>
          <w:p>
            <w:r>
              <w:t>3. Overstatement of the 'multi-omics' approach.</w:t>
            </w:r>
          </w:p>
        </w:tc>
        <w:tc>
          <w:tcPr>
            <w:tcW w:type="dxa" w:w="3135"/>
          </w:tcPr>
          <w:p>
            <w:r>
              <w:t>Addressed by changing the title, abstract, and main text to describe a transcriptomic prioritization framework rather than an integrated multi-omics pipeline.</w:t>
            </w:r>
          </w:p>
        </w:tc>
        <w:tc>
          <w:tcPr>
            <w:tcW w:type="dxa" w:w="3135"/>
          </w:tcPr>
          <w:p>
            <w:r>
              <w:t>Title, Abstract, Introduction, Conclusions</w:t>
            </w:r>
          </w:p>
        </w:tc>
      </w:tr>
      <w:tr>
        <w:tc>
          <w:tcPr>
            <w:tcW w:type="dxa" w:w="3135"/>
          </w:tcPr>
          <w:p>
            <w:r>
              <w:t>4. Inconsistency between results and interpretation.</w:t>
            </w:r>
          </w:p>
        </w:tc>
        <w:tc>
          <w:tcPr>
            <w:tcW w:type="dxa" w:w="3135"/>
          </w:tcPr>
          <w:p>
            <w:r>
              <w:t>Corrected. The revised Results section states that cytokine signaling had the highest mean pathway score, followed by coagulation/fibrinolysis and endothelial-barrier biology, exactly matching Table 2 and Figure 4.</w:t>
            </w:r>
          </w:p>
        </w:tc>
        <w:tc>
          <w:tcPr>
            <w:tcW w:type="dxa" w:w="3135"/>
          </w:tcPr>
          <w:p>
            <w:r>
              <w:t>Results: pathway summary; Table 2; Figure 4</w:t>
            </w:r>
          </w:p>
        </w:tc>
      </w:tr>
      <w:tr>
        <w:tc>
          <w:tcPr>
            <w:tcW w:type="dxa" w:w="3135"/>
          </w:tcPr>
          <w:p>
            <w:r>
              <w:t>5. Clinical recommendations appear premature.</w:t>
            </w:r>
          </w:p>
        </w:tc>
        <w:tc>
          <w:tcPr>
            <w:tcW w:type="dxa" w:w="3135"/>
          </w:tcPr>
          <w:p>
            <w:r>
              <w:t>The revised manuscript removes directive treatment language. All drug outputs are now described as hypothesis-generating candidates for preclinical or clinical evaluation. Standard supportive products are clearly distinguished from computationally prioritized repurposing hypotheses.</w:t>
            </w:r>
          </w:p>
        </w:tc>
        <w:tc>
          <w:tcPr>
            <w:tcW w:type="dxa" w:w="3135"/>
          </w:tcPr>
          <w:p>
            <w:r>
              <w:t>Abstract, Results, Discussion, Conclusions, Table 3</w:t>
            </w:r>
          </w:p>
        </w:tc>
      </w:tr>
      <w:tr>
        <w:tc>
          <w:tcPr>
            <w:tcW w:type="dxa" w:w="3135"/>
          </w:tcPr>
          <w:p>
            <w:r>
              <w:t>6. Cross-virus extrapolation requires stronger justification.</w:t>
            </w:r>
          </w:p>
        </w:tc>
        <w:tc>
          <w:tcPr>
            <w:tcW w:type="dxa" w:w="3135"/>
          </w:tcPr>
          <w:p>
            <w:r>
              <w:t>The revised analysis narrows the extrapolation to human dengue severity datasets only, rather than a broad mixture of viral hemorrhagic-fever datasets. The rationale and limitations of this cross-flaviviral inference are explicitly discussed.</w:t>
            </w:r>
          </w:p>
        </w:tc>
        <w:tc>
          <w:tcPr>
            <w:tcW w:type="dxa" w:w="3135"/>
          </w:tcPr>
          <w:p>
            <w:r>
              <w:t>Introduction, Methods, Discussion, Limitations</w:t>
            </w:r>
          </w:p>
        </w:tc>
      </w:tr>
      <w:tr>
        <w:tc>
          <w:tcPr>
            <w:tcW w:type="dxa" w:w="3135"/>
          </w:tcPr>
          <w:p>
            <w:r>
              <w:t>7. Title accuracy.</w:t>
            </w:r>
          </w:p>
        </w:tc>
        <w:tc>
          <w:tcPr>
            <w:tcW w:type="dxa" w:w="3135"/>
          </w:tcPr>
          <w:p>
            <w:r>
              <w:t>Revised title now removes the multi-omics claim and reflects the actual study design.</w:t>
            </w:r>
          </w:p>
        </w:tc>
        <w:tc>
          <w:tcPr>
            <w:tcW w:type="dxa" w:w="3135"/>
          </w:tcPr>
          <w:p>
            <w:r>
              <w:t>Title page and blinded manuscript title</w:t>
            </w:r>
          </w:p>
        </w:tc>
      </w:tr>
      <w:tr>
        <w:tc>
          <w:tcPr>
            <w:tcW w:type="dxa" w:w="3135"/>
          </w:tcPr>
          <w:p>
            <w:r>
              <w:t>8. Abstract wording implied a KFD-specific signature.</w:t>
            </w:r>
          </w:p>
        </w:tc>
        <w:tc>
          <w:tcPr>
            <w:tcW w:type="dxa" w:w="3135"/>
          </w:tcPr>
          <w:p>
            <w:r>
              <w:t>The abstract now refers to a prespecified host-response panel evaluated using public flaviviral transcriptomic data, not a KFD-specific signature.</w:t>
            </w:r>
          </w:p>
        </w:tc>
        <w:tc>
          <w:tcPr>
            <w:tcW w:type="dxa" w:w="3135"/>
          </w:tcPr>
          <w:p>
            <w:r>
              <w:t>Abstract</w:t>
            </w:r>
          </w:p>
        </w:tc>
      </w:tr>
      <w:tr>
        <w:tc>
          <w:tcPr>
            <w:tcW w:type="dxa" w:w="3135"/>
          </w:tcPr>
          <w:p>
            <w:r>
              <w:t>9. Reference relevance and unsupported statements.</w:t>
            </w:r>
          </w:p>
        </w:tc>
        <w:tc>
          <w:tcPr>
            <w:tcW w:type="dxa" w:w="3135"/>
          </w:tcPr>
          <w:p>
            <w:r>
              <w:t>Irrelevant citations were removed, and the reference list was rebuilt around KFD epidemiology, dengue discovery cohorts, Reactome, ChEMBL, and host-directed therapy literature directly supporting the revised statements.</w:t>
            </w:r>
          </w:p>
        </w:tc>
        <w:tc>
          <w:tcPr>
            <w:tcW w:type="dxa" w:w="3135"/>
          </w:tcPr>
          <w:p>
            <w:r>
              <w:t>References throughout</w:t>
            </w:r>
          </w:p>
        </w:tc>
      </w:tr>
      <w:tr>
        <w:tc>
          <w:tcPr>
            <w:tcW w:type="dxa" w:w="3135"/>
          </w:tcPr>
          <w:p>
            <w:r>
              <w:t>10. Pathway classification requires ontology support.</w:t>
            </w:r>
          </w:p>
        </w:tc>
        <w:tc>
          <w:tcPr>
            <w:tcW w:type="dxa" w:w="3135"/>
          </w:tcPr>
          <w:p>
            <w:r>
              <w:t>Pathway labels are now explicitly mapped to Reactome-supported modules and documented in the Methods and Supplementary Materials.</w:t>
            </w:r>
          </w:p>
        </w:tc>
        <w:tc>
          <w:tcPr>
            <w:tcW w:type="dxa" w:w="3135"/>
          </w:tcPr>
          <w:p>
            <w:r>
              <w:t>Methods and Supplementary Table S2</w:t>
            </w:r>
          </w:p>
        </w:tc>
      </w:tr>
      <w:tr>
        <w:tc>
          <w:tcPr>
            <w:tcW w:type="dxa" w:w="3135"/>
          </w:tcPr>
          <w:p>
            <w:r>
              <w:t>11. Vitamin K prioritization needs clarification.</w:t>
            </w:r>
          </w:p>
        </w:tc>
        <w:tc>
          <w:tcPr>
            <w:tcW w:type="dxa" w:w="3135"/>
          </w:tcPr>
          <w:p>
            <w:r>
              <w:t>Vitamin K was removed from the high-priority shortlist. The revised candidate table instead focuses on support products, tranexamic acid, atorvastatin, and N-acetylcysteine, with appropriate cautionary framing.</w:t>
            </w:r>
          </w:p>
        </w:tc>
        <w:tc>
          <w:tcPr>
            <w:tcW w:type="dxa" w:w="3135"/>
          </w:tcPr>
          <w:p>
            <w:r>
              <w:t>Table 3 and Discussion</w:t>
            </w:r>
          </w:p>
        </w:tc>
      </w:tr>
      <w:tr>
        <w:tc>
          <w:tcPr>
            <w:tcW w:type="dxa" w:w="3135"/>
          </w:tcPr>
          <w:p>
            <w:r>
              <w:t>12. Figure descriptions require labels/statistical context/sample sizes.</w:t>
            </w:r>
          </w:p>
        </w:tc>
        <w:tc>
          <w:tcPr>
            <w:tcW w:type="dxa" w:w="3135"/>
          </w:tcPr>
          <w:p>
            <w:r>
              <w:t>All revised figure captions now specify what is plotted, the sample context, and the interpretive scope of the figure.</w:t>
            </w:r>
          </w:p>
        </w:tc>
        <w:tc>
          <w:tcPr>
            <w:tcW w:type="dxa" w:w="3135"/>
          </w:tcPr>
          <w:p>
            <w:r>
              <w:t>Figure captions 1-5</w:t>
            </w:r>
          </w:p>
        </w:tc>
      </w:tr>
      <w:tr>
        <w:tc>
          <w:tcPr>
            <w:tcW w:type="dxa" w:w="3135"/>
          </w:tcPr>
          <w:p>
            <w:r>
              <w:t>13. Limitations should be emphasized.</w:t>
            </w:r>
          </w:p>
        </w:tc>
        <w:tc>
          <w:tcPr>
            <w:tcW w:type="dxa" w:w="3135"/>
          </w:tcPr>
          <w:p>
            <w:r>
              <w:t>The revised paper now includes a dedicated Limitations subsection covering dataset heterogeneity, absence of KFD-specific transcriptomic data, tissue-specific uncertainty, and lack of experimental validation.</w:t>
            </w:r>
          </w:p>
        </w:tc>
        <w:tc>
          <w:tcPr>
            <w:tcW w:type="dxa" w:w="3135"/>
          </w:tcPr>
          <w:p>
            <w:r>
              <w:t>Limitations section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