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Article Type: </w:t>
      </w:r>
      <w:r>
        <w:t>Original Article</w:t>
      </w:r>
    </w:p>
    <w:p>
      <w:r>
        <w:rPr>
          <w:b/>
        </w:rPr>
        <w:t xml:space="preserve">Title: </w:t>
      </w:r>
      <w:r>
        <w:t>A Cross-Flaviviral Transcriptomic Prioritization Framework for Host-Directed Therapy in Kyasanur Forest Disease</w:t>
      </w:r>
    </w:p>
    <w:p>
      <w:r>
        <w:rPr>
          <w:b/>
        </w:rPr>
        <w:t xml:space="preserve">Running Title: </w:t>
      </w:r>
      <w:r>
        <w:t>Transcriptomic HDT Framework for KFD</w:t>
      </w:r>
    </w:p>
    <w:p>
      <w:r>
        <w:rPr>
          <w:b/>
        </w:rPr>
        <w:t xml:space="preserve">Author: </w:t>
      </w:r>
      <w:r>
        <w:t>Siddalingaiah H S</w:t>
      </w:r>
    </w:p>
    <w:p>
      <w:r>
        <w:rPr>
          <w:b/>
        </w:rPr>
        <w:t xml:space="preserve">Affiliation: </w:t>
      </w:r>
      <w:r>
        <w:t>Department of Community Medicine, Shridevi Institute of Medical Sciences and Research Hospital, Tumkur, Karnataka, India</w:t>
      </w:r>
    </w:p>
    <w:p>
      <w:r>
        <w:rPr>
          <w:b/>
        </w:rPr>
        <w:t xml:space="preserve">Corresponding Author: </w:t>
      </w:r>
      <w:r>
        <w:t>Dr. Siddalingaiah H S, MD; hssling@yahoo.com; +91-8941087719; ORCID 0000-0002-4771-8285</w:t>
      </w:r>
    </w:p>
    <w:p>
      <w:r>
        <w:rPr>
          <w:b/>
        </w:rPr>
        <w:t xml:space="preserve">Word Count: </w:t>
      </w:r>
      <w:r>
        <w:t>Abstract 247; total manuscript text including references approximately 2341</w:t>
      </w:r>
    </w:p>
    <w:p>
      <w:r>
        <w:rPr>
          <w:b/>
        </w:rPr>
        <w:t xml:space="preserve">Tables/Figures: </w:t>
      </w:r>
      <w:r>
        <w:t>3 tables and 5 figures in the blinded article; supplementary material provided separately</w:t>
      </w:r>
    </w:p>
    <w:p>
      <w:r>
        <w:rPr>
          <w:b/>
        </w:rPr>
        <w:t xml:space="preserve">Funding: </w:t>
      </w:r>
      <w:r>
        <w:t>None</w:t>
      </w:r>
    </w:p>
    <w:p>
      <w:r>
        <w:rPr>
          <w:b/>
        </w:rPr>
        <w:t xml:space="preserve">Conflicts of Interest: </w:t>
      </w:r>
      <w:r>
        <w:t>None declared</w:t>
      </w:r>
    </w:p>
    <w:p>
      <w:r>
        <w:rPr>
          <w:b/>
        </w:rPr>
        <w:t xml:space="preserve">Author Contributions: </w:t>
      </w:r>
      <w:r>
        <w:t>Single-author study design, data analysis, interpretation, and manuscript drafting</w:t>
      </w:r>
    </w:p>
    <w:p>
      <w:r>
        <w:rPr>
          <w:b/>
        </w:rPr>
        <w:t xml:space="preserve">Ethics Statement: </w:t>
      </w:r>
      <w:r>
        <w:t>Secondary analysis of publicly available de-identified datasets; ethics approval not required</w:t>
      </w:r>
    </w:p>
    <w:p>
      <w:r>
        <w:rPr>
          <w:b/>
        </w:rPr>
        <w:t xml:space="preserve">AI Disclosure: </w:t>
      </w:r>
      <w:r>
        <w:t>Generative AI tools were used only for coding and editorial assistance under full author review and responsibility</w:t>
      </w:r>
    </w:p>
    <w:p>
      <w:r>
        <w:rPr>
          <w:b/>
        </w:rPr>
        <w:t xml:space="preserve">Data Availability: </w:t>
      </w:r>
      <w:r>
        <w:t>All revision scripts and generated tables are contained in the submission workspace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