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Response to Reviewers</w:t>
      </w:r>
    </w:p>
    <w:p>
      <w:r>
        <w:t>Manuscript title: A Cross-Flaviviral Transcriptomic Evidence and Mechanistic Prioritization Framework for Host-Directed Therapy in Kyasanur Forest Disease</w:t>
      </w:r>
    </w:p>
    <w:tbl>
      <w:tblPr>
        <w:tblStyle w:val="TableGrid"/>
        <w:tblW w:type="auto" w:w="0"/>
        <w:tblLook w:firstColumn="1" w:firstRow="1" w:lastColumn="0" w:lastRow="0" w:noHBand="0" w:noVBand="1" w:val="04A0"/>
      </w:tblPr>
      <w:tblGrid>
        <w:gridCol w:w="3135"/>
        <w:gridCol w:w="3135"/>
        <w:gridCol w:w="3135"/>
      </w:tblGrid>
      <w:tr>
        <w:tc>
          <w:tcPr>
            <w:tcW w:type="dxa" w:w="3135"/>
            <w:shd w:fill="D9E2F3"/>
          </w:tcPr>
          <w:p>
            <w:r>
              <w:rPr>
                <w:b/>
              </w:rPr>
              <w:t>Reviewer Concern</w:t>
            </w:r>
          </w:p>
        </w:tc>
        <w:tc>
          <w:tcPr>
            <w:tcW w:type="dxa" w:w="3135"/>
            <w:shd w:fill="D9E2F3"/>
          </w:tcPr>
          <w:p>
            <w:r>
              <w:rPr>
                <w:b/>
              </w:rPr>
              <w:t>Response</w:t>
            </w:r>
          </w:p>
        </w:tc>
        <w:tc>
          <w:tcPr>
            <w:tcW w:type="dxa" w:w="3135"/>
            <w:shd w:fill="D9E2F3"/>
          </w:tcPr>
          <w:p>
            <w:r>
              <w:rPr>
                <w:b/>
              </w:rPr>
              <w:t>Location in Revised Manuscript</w:t>
            </w:r>
          </w:p>
        </w:tc>
      </w:tr>
      <w:tr>
        <w:tc>
          <w:tcPr>
            <w:tcW w:type="dxa" w:w="3135"/>
          </w:tcPr>
          <w:p>
            <w:r>
              <w:t>1. Methodology transparency was insufficient.</w:t>
            </w:r>
          </w:p>
        </w:tc>
        <w:tc>
          <w:tcPr>
            <w:tcW w:type="dxa" w:w="3135"/>
          </w:tcPr>
          <w:p>
            <w:r>
              <w:t>We rebuilt the computational workflow to make each analytical step explicit. The manuscript now describes cohort selection, preprocessing, probe-to-gene collapsing, within-cohort differential-expression analysis, the prespecified 50-gene host-response panel, the deterministic prioritization formula, and the added random-effects meta-analysis with confidence intervals and heterogeneity metrics.</w:t>
            </w:r>
          </w:p>
        </w:tc>
        <w:tc>
          <w:tcPr>
            <w:tcW w:type="dxa" w:w="3135"/>
          </w:tcPr>
          <w:p>
            <w:r>
              <w:t>Methods; Supplementary Tables S1-S4</w:t>
            </w:r>
          </w:p>
        </w:tc>
      </w:tr>
      <w:tr>
        <w:tc>
          <w:tcPr>
            <w:tcW w:type="dxa" w:w="3135"/>
          </w:tcPr>
          <w:p>
            <w:r>
              <w:t>2. Gene signature derivation appeared arbitrary.</w:t>
            </w:r>
          </w:p>
        </w:tc>
        <w:tc>
          <w:tcPr>
            <w:tcW w:type="dxa" w:w="3135"/>
          </w:tcPr>
          <w:p>
            <w:r>
              <w:t>We clarified that the 50 genes are not presented as a de novo KFD-specific discovery signature. Instead, they constitute a prespecified mechanistic host-response panel spanning cytokine, endothelial, coagulation, platelet, neurological, and oxidative-stress biology. The manuscript now separates panel construction from transcriptomic evidence strength.</w:t>
            </w:r>
          </w:p>
        </w:tc>
        <w:tc>
          <w:tcPr>
            <w:tcW w:type="dxa" w:w="3135"/>
          </w:tcPr>
          <w:p>
            <w:r>
              <w:t>Abstract, Methods, Discussion, Supplementary Table S2</w:t>
            </w:r>
          </w:p>
        </w:tc>
      </w:tr>
      <w:tr>
        <w:tc>
          <w:tcPr>
            <w:tcW w:type="dxa" w:w="3135"/>
          </w:tcPr>
          <w:p>
            <w:r>
              <w:t>3. Composite score needed clearer definition.</w:t>
            </w:r>
          </w:p>
        </w:tc>
        <w:tc>
          <w:tcPr>
            <w:tcW w:type="dxa" w:w="3135"/>
          </w:tcPr>
          <w:p>
            <w:r>
              <w:t>We retained the explicit deterministic prioritization framework and further strengthened it by adding an orthogonal random-effects meta-analysis layer. This allows readers to distinguish mechanistic prioritization from pooled transcriptomic evidence and uncertainty.</w:t>
            </w:r>
          </w:p>
        </w:tc>
        <w:tc>
          <w:tcPr>
            <w:tcW w:type="dxa" w:w="3135"/>
          </w:tcPr>
          <w:p>
            <w:r>
              <w:t>Methods; Results; Supplementary Tables S2-S4</w:t>
            </w:r>
          </w:p>
        </w:tc>
      </w:tr>
      <w:tr>
        <w:tc>
          <w:tcPr>
            <w:tcW w:type="dxa" w:w="3135"/>
          </w:tcPr>
          <w:p>
            <w:r>
              <w:t>4. The original multi-omics framing was overstated.</w:t>
            </w:r>
          </w:p>
        </w:tc>
        <w:tc>
          <w:tcPr>
            <w:tcW w:type="dxa" w:w="3135"/>
          </w:tcPr>
          <w:p>
            <w:r>
              <w:t>We removed the unsupported multi-omics framing throughout and now describe the study as a cross-flaviviral transcriptomic evidence and mechanistic prioritization framework.</w:t>
            </w:r>
          </w:p>
        </w:tc>
        <w:tc>
          <w:tcPr>
            <w:tcW w:type="dxa" w:w="3135"/>
          </w:tcPr>
          <w:p>
            <w:r>
              <w:t>Title, Abstract, Introduction, Conclusions</w:t>
            </w:r>
          </w:p>
        </w:tc>
      </w:tr>
      <w:tr>
        <w:tc>
          <w:tcPr>
            <w:tcW w:type="dxa" w:w="3135"/>
          </w:tcPr>
          <w:p>
            <w:r>
              <w:t>5. Results and interpretation were inconsistent.</w:t>
            </w:r>
          </w:p>
        </w:tc>
        <w:tc>
          <w:tcPr>
            <w:tcW w:type="dxa" w:w="3135"/>
          </w:tcPr>
          <w:p>
            <w:r>
              <w:t>We reconciled the narrative with the underlying data. The final manuscript states that inflammatory targets have the strongest transcriptomic support, while endothelial and coagulation targets remain clinically meaningful but mechanistic hypotheses with weaker transcriptomic backing in the current datasets.</w:t>
            </w:r>
          </w:p>
        </w:tc>
        <w:tc>
          <w:tcPr>
            <w:tcW w:type="dxa" w:w="3135"/>
          </w:tcPr>
          <w:p>
            <w:r>
              <w:t>Results, Discussion, Conclusions, Tables 1-3</w:t>
            </w:r>
          </w:p>
        </w:tc>
      </w:tr>
      <w:tr>
        <w:tc>
          <w:tcPr>
            <w:tcW w:type="dxa" w:w="3135"/>
          </w:tcPr>
          <w:p>
            <w:r>
              <w:t>6. Clinical recommendations were premature.</w:t>
            </w:r>
          </w:p>
        </w:tc>
        <w:tc>
          <w:tcPr>
            <w:tcW w:type="dxa" w:w="3135"/>
          </w:tcPr>
          <w:p>
            <w:r>
              <w:t>We removed directive therapeutic language. The intervention shortlist is now explicitly labeled hypothesis-generating only, and supportive-care products are distinguished from exploratory repurposing candidates.</w:t>
            </w:r>
          </w:p>
        </w:tc>
        <w:tc>
          <w:tcPr>
            <w:tcW w:type="dxa" w:w="3135"/>
          </w:tcPr>
          <w:p>
            <w:r>
              <w:t>Abstract, Table 3, Discussion, Conclusions</w:t>
            </w:r>
          </w:p>
        </w:tc>
      </w:tr>
      <w:tr>
        <w:tc>
          <w:tcPr>
            <w:tcW w:type="dxa" w:w="3135"/>
          </w:tcPr>
          <w:p>
            <w:r>
              <w:t>7. Cross-virus extrapolation required stronger justification.</w:t>
            </w:r>
          </w:p>
        </w:tc>
        <w:tc>
          <w:tcPr>
            <w:tcW w:type="dxa" w:w="3135"/>
          </w:tcPr>
          <w:p>
            <w:r>
              <w:t>We narrowed the public discovery base to human dengue severity cohorts and added an explicit uncertainty framework. The manuscript now states clearly that current proxy datasets are insufficient for strong KFD-specific molecular claims and that disease-specific validation remains necessary.</w:t>
            </w:r>
          </w:p>
        </w:tc>
        <w:tc>
          <w:tcPr>
            <w:tcW w:type="dxa" w:w="3135"/>
          </w:tcPr>
          <w:p>
            <w:r>
              <w:t>Introduction, Methods, Limitations, Conclusions</w:t>
            </w:r>
          </w:p>
        </w:tc>
      </w:tr>
      <w:tr>
        <w:tc>
          <w:tcPr>
            <w:tcW w:type="dxa" w:w="3135"/>
          </w:tcPr>
          <w:p>
            <w:r>
              <w:t>8. Pathway classification required support.</w:t>
            </w:r>
          </w:p>
        </w:tc>
        <w:tc>
          <w:tcPr>
            <w:tcW w:type="dxa" w:w="3135"/>
          </w:tcPr>
          <w:p>
            <w:r>
              <w:t>We retained pathway mapping grounded in established host-response biology and documented the categorized panel transparently in the manuscript and supplementary materials.</w:t>
            </w:r>
          </w:p>
        </w:tc>
        <w:tc>
          <w:tcPr>
            <w:tcW w:type="dxa" w:w="3135"/>
          </w:tcPr>
          <w:p>
            <w:r>
              <w:t>Methods; Supplementary Table S2</w:t>
            </w:r>
          </w:p>
        </w:tc>
      </w:tr>
      <w:tr>
        <w:tc>
          <w:tcPr>
            <w:tcW w:type="dxa" w:w="3135"/>
          </w:tcPr>
          <w:p>
            <w:r>
              <w:t>9. Tables and figures needed closer agreement with claims.</w:t>
            </w:r>
          </w:p>
        </w:tc>
        <w:tc>
          <w:tcPr>
            <w:tcW w:type="dxa" w:w="3135"/>
          </w:tcPr>
          <w:p>
            <w:r>
              <w:t>All tables and figures were regenerated directly from verified output files and re-audited against the manuscript text. Table captions, figure captions, and narrative claims now align with the evidence-tier summaries and pooled effect tables.</w:t>
            </w:r>
          </w:p>
        </w:tc>
        <w:tc>
          <w:tcPr>
            <w:tcW w:type="dxa" w:w="3135"/>
          </w:tcPr>
          <w:p>
            <w:r>
              <w:t>Tables 1-3; Figures 1-4; Supplementary Tables</w:t>
            </w:r>
          </w:p>
        </w:tc>
      </w:tr>
      <w:tr>
        <w:tc>
          <w:tcPr>
            <w:tcW w:type="dxa" w:w="3135"/>
          </w:tcPr>
          <w:p>
            <w:r>
              <w:t>10. Limitations required more emphasis.</w:t>
            </w:r>
          </w:p>
        </w:tc>
        <w:tc>
          <w:tcPr>
            <w:tcW w:type="dxa" w:w="3135"/>
          </w:tcPr>
          <w:p>
            <w:r>
              <w:t>We expanded the limitations substantially. The manuscript now states that no gene reached strict cross-cohort support under the current public data base, that several vascular/coagulation targets are mechanistic rather than recurrent transcriptomic findings, and that KFD-specific data are still required for validation.</w:t>
            </w:r>
          </w:p>
        </w:tc>
        <w:tc>
          <w:tcPr>
            <w:tcW w:type="dxa" w:w="3135"/>
          </w:tcPr>
          <w:p>
            <w:r>
              <w:t>Abstract, Results, Limitations, Conclusions</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