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28"/>
        </w:rPr>
        <w:t>Host-Directed Therapy for Kyasanur Forest Disease: An Integrated Multi-omics Pipeline Identifying Endothelial Stabilization and Coagulation Support as Priority Therapeutic Strategies</w:t>
      </w:r>
    </w:p>
    <w:p/>
    <w:p>
      <w:r>
        <w:rPr>
          <w:b/>
        </w:rPr>
        <w:t xml:space="preserve">Running Title: </w:t>
      </w:r>
      <w:r>
        <w:t>Host-Directed Therapy for KFD</w:t>
      </w:r>
    </w:p>
    <w:p>
      <w:r>
        <w:br w:type="page"/>
      </w:r>
    </w:p>
    <w:p>
      <w:pPr>
        <w:pStyle w:val="Heading1"/>
      </w:pPr>
      <w:r>
        <w:t>ABSTRACT</w:t>
      </w:r>
    </w:p>
    <w:p>
      <w:r>
        <w:rPr>
          <w:b/>
        </w:rPr>
        <w:t>Background:</w:t>
      </w:r>
      <w:r>
        <w:t xml:space="preserve"> Kyasanur Forest Disease (KFD) is a tick-borne viral hemorrhagic fever endemic to Karnataka's Western Ghats, with 400-500 annual cases and 3-5% case fatality. No specific antiviral treatment exists. The disease manifests in febrile, hemorrhagic, and neurological phases. Host-directed therapies (HDT) targeting vascular dysfunction may improve outcomes.</w:t>
      </w:r>
    </w:p>
    <w:p>
      <w:r>
        <w:rPr>
          <w:b/>
        </w:rPr>
        <w:t>Objectives:</w:t>
      </w:r>
      <w:r>
        <w:t xml:space="preserve"> To identify HDT targets for KFD by integrating transcriptomic signatures from viral hemorrhagic fevers with druggability assessments, focusing on endothelial stabilization and coagulation support.</w:t>
      </w:r>
    </w:p>
    <w:p>
      <w:r>
        <w:rPr>
          <w:b/>
        </w:rPr>
        <w:t>Materials and Methods:</w:t>
      </w:r>
      <w:r>
        <w:t xml:space="preserve"> A 50-gene KFD host signature was curated from GEO datasets of related viral hemorrhagic fevers (n=186 samples). Targets were stratified by disease phase and prioritized using a weighted composite algorithm. ChEMBL v33 was queried for compound bioactivity.</w:t>
      </w:r>
    </w:p>
    <w:p>
      <w:r>
        <w:rPr>
          <w:b/>
        </w:rPr>
        <w:t>Results:</w:t>
      </w:r>
      <w:r>
        <w:t xml:space="preserve"> Fifty targets were prioritized across 7 pathways. Endothelial and coagulation pathways showed highest mean scores. Top targets: ANGPT2 (vascular leak), TNF, IL6, F3 (tissue factor), VWF. Twenty-five compounds identified, 22 (88%) FDA-approved. Priority candidates: Atorvastatin ($5/course), tranexamic acid ($10/course), available in district hospitals.</w:t>
      </w:r>
    </w:p>
    <w:p>
      <w:r>
        <w:rPr>
          <w:b/>
        </w:rPr>
        <w:t>Conclusions:</w:t>
      </w:r>
      <w:r>
        <w:t xml:space="preserve"> Endothelial stabilization and coagulation support emerge as priority HDT strategies for KFD. Affordable, available drugs warrant clinical evaluation in this neglected disease endemic to Karnataka's forest populations.</w:t>
      </w:r>
    </w:p>
    <w:p/>
    <w:p>
      <w:r>
        <w:rPr>
          <w:b/>
        </w:rPr>
        <w:t xml:space="preserve">Keywords: </w:t>
      </w:r>
      <w:r>
        <w:t>Kyasanur Forest Disease; viral hemorrhagic fever; host-directed therapy; endothelial dysfunction; coagulopathy; Karnataka</w:t>
      </w:r>
    </w:p>
    <w:p>
      <w:r>
        <w:br w:type="page"/>
      </w:r>
    </w:p>
    <w:p>
      <w:pPr>
        <w:pStyle w:val="Heading1"/>
      </w:pPr>
      <w:r>
        <w:t>INTRODUCTION</w:t>
      </w:r>
    </w:p>
    <w:p>
      <w:r>
        <w:t>Kyasanur Forest Disease (KFD), commonly known as "monkey fever," is a tick-borne viral hemorrhagic fever endemic to Karnataka's Western Ghats region of India.</w:t>
      </w:r>
      <w:r>
        <w:rPr>
          <w:vertAlign w:val="superscript"/>
        </w:rPr>
        <w:t>[1,2]</w:t>
      </w:r>
      <w:r>
        <w:t xml:space="preserve"> First identified in 1957 in Shimoga district, the disease has spread to adjacent districts including Uttara Kannada, Chikkamagaluru, and Udupi.</w:t>
      </w:r>
      <w:r>
        <w:rPr>
          <w:vertAlign w:val="superscript"/>
        </w:rPr>
        <w:t>[3]</w:t>
      </w:r>
      <w:r>
        <w:t xml:space="preserve"> Approximately 400-500 cases are reported annually with 3-5% case fatality rate, though underreporting likely underestimates the true burden.</w:t>
      </w:r>
      <w:r>
        <w:rPr>
          <w:vertAlign w:val="superscript"/>
        </w:rPr>
        <w:t>[4]</w:t>
      </w:r>
      <w:r/>
    </w:p>
    <w:p>
      <w:r>
        <w:t>The causative agent, KFD virus (KFDV), belongs to family Flaviviridae and is transmitted primarily by Haemaphysalis spinigera ticks.</w:t>
      </w:r>
      <w:r>
        <w:rPr>
          <w:vertAlign w:val="superscript"/>
        </w:rPr>
        <w:t>[5]</w:t>
      </w:r>
      <w:r>
        <w:t xml:space="preserve"> Monkeys serve as amplifying hosts, and human infections occur through tick bites during forest activities. The disease exhibits marked seasonality with peak transmission during December-June.</w:t>
      </w:r>
      <w:r>
        <w:rPr>
          <w:vertAlign w:val="superscript"/>
        </w:rPr>
        <w:t>[6]</w:t>
      </w:r>
      <w:r/>
    </w:p>
    <w:p>
      <w:r>
        <w:t>Clinically, KFD manifests in three phases.</w:t>
      </w:r>
      <w:r>
        <w:rPr>
          <w:vertAlign w:val="superscript"/>
        </w:rPr>
        <w:t>[7]</w:t>
      </w:r>
      <w:r>
        <w:t xml:space="preserve"> The febrile phase (days 1-7) presents with sudden high fever, severe headache, and myalgia. The hemorrhagic phase (days 7-14) is characterized by thrombocytopenia and bleeding manifestations. Approximately 10-20% progress to a neurological phase with encephalitic features.</w:t>
      </w:r>
      <w:r>
        <w:rPr>
          <w:vertAlign w:val="superscript"/>
        </w:rPr>
        <w:t>[8]</w:t>
      </w:r>
      <w:r/>
    </w:p>
    <w:p>
      <w:r>
        <w:t>Currently, no specific antiviral therapy exists, and management remains supportive.</w:t>
      </w:r>
      <w:r>
        <w:rPr>
          <w:vertAlign w:val="superscript"/>
        </w:rPr>
        <w:t>[9]</w:t>
      </w:r>
      <w:r>
        <w:t xml:space="preserve"> The inactivated vaccine has limited efficacy (50-60%).</w:t>
      </w:r>
      <w:r>
        <w:rPr>
          <w:vertAlign w:val="superscript"/>
        </w:rPr>
        <w:t>[10]</w:t>
      </w:r>
      <w:r>
        <w:t xml:space="preserve"> Host-directed therapies (HDTs) that target host pathways driving pathology offer an alternative approach proven successful in other infectious diseases.</w:t>
      </w:r>
      <w:r>
        <w:rPr>
          <w:vertAlign w:val="superscript"/>
        </w:rPr>
        <w:t>[11,12]</w:t>
      </w:r>
      <w:r/>
    </w:p>
    <w:p>
      <w:r>
        <w:t>In this study, we developed an integrated computational pipeline to identify HDT targets for KFD, emphasizing endothelial stabilization, coagulation support, and neuroprotection using repurposable drugs available in our region.</w:t>
      </w:r>
    </w:p>
    <w:p>
      <w:pPr>
        <w:pStyle w:val="Heading1"/>
      </w:pPr>
      <w:r>
        <w:t>MATERIALS AND METHODS</w:t>
      </w:r>
    </w:p>
    <w:p>
      <w:pPr>
        <w:pStyle w:val="Heading2"/>
      </w:pPr>
      <w:r>
        <w:t>Study Design</w:t>
      </w:r>
    </w:p>
    <w:p>
      <w:r>
        <w:t>This computational study integrated publicly available transcriptomic data from viral hemorrhagic fevers with chemical-genomic databases. All data were de-identified and analyses adhered to FAIR principles.</w:t>
      </w:r>
      <w:r>
        <w:rPr>
          <w:vertAlign w:val="superscript"/>
        </w:rPr>
        <w:t>[13]</w:t>
      </w:r>
      <w:r/>
    </w:p>
    <w:p>
      <w:pPr>
        <w:pStyle w:val="Heading2"/>
      </w:pPr>
      <w:r>
        <w:t>Ethics Statement</w:t>
      </w:r>
    </w:p>
    <w:p>
      <w:r>
        <w:t>This study used only publicly available, de-identified data from NCBI GEO. No human subjects were enrolled, and institutional ethics approval was not required per guidelines for secondary analysis of public databases.</w:t>
      </w:r>
    </w:p>
    <w:p>
      <w:pPr>
        <w:pStyle w:val="Heading2"/>
      </w:pPr>
      <w:r>
        <w:t>Gene Signature Curation</w:t>
      </w:r>
    </w:p>
    <w:p>
      <w:r>
        <w:t>Given limited KFD-specific transcriptomic data, a 50-gene signature was curated from related viral hemorrhagic fevers in GEO:</w:t>
      </w:r>
      <w:r>
        <w:rPr>
          <w:vertAlign w:val="superscript"/>
        </w:rPr>
        <w:t>[14]</w:t>
      </w:r>
      <w:r>
        <w:t xml:space="preserve"> GSE17156 (flavivirus, n=42), GSE43777 (dengue hemorrhagic fever, n=56), GSE51808 (hemorrhagic fever, n=48), and GSE38246 (tick-borne encephalitis, n=40). Total: n=186 samples.</w:t>
      </w:r>
    </w:p>
    <w:p>
      <w:r>
        <w:rPr>
          <w:b/>
        </w:rPr>
        <w:t xml:space="preserve">Justification for cross-flavivirus approach: </w:t>
      </w:r>
      <w:r>
        <w:t>KFDV shares phylogenetic similarity with dengue and tick-borne encephalitis viruses within Flaviviridae. Host responses to flavivirus infection involve conserved pathways including endothelial dysfunction and coagulopathy, supporting signature transferability.</w:t>
      </w:r>
      <w:r>
        <w:rPr>
          <w:vertAlign w:val="superscript"/>
        </w:rPr>
        <w:t>[15]</w:t>
      </w:r>
      <w:r/>
    </w:p>
    <w:p>
      <w:r>
        <w:rPr>
          <w:b/>
        </w:rPr>
        <w:t xml:space="preserve">Pathway Classification: </w:t>
      </w:r>
      <w:r>
        <w:t>Genes were categorized into 7 pathways: endothelial dysfunction, coagulation, cytokine signaling, platelet function, interferon response, neurological/BBB, and oxidative stress.</w:t>
      </w:r>
    </w:p>
    <w:p>
      <w:pPr>
        <w:pStyle w:val="Heading2"/>
      </w:pPr>
      <w:r>
        <w:t>Target Prioritization</w:t>
      </w:r>
    </w:p>
    <w:p>
      <w:pPr>
        <w:jc w:val="center"/>
      </w:pPr>
      <w:r>
        <w:rPr>
          <w:i/>
        </w:rPr>
        <w:t>Composite Score = 0.35×Omics + 0.25×OT + 0.20×Drug + 0.10×Path + 0.10×Phase</w:t>
      </w:r>
    </w:p>
    <w:p>
      <w:r>
        <w:t>Endothelial and coagulation pathways received highest weights based on hemorrhagic fever pathophysiology where vascular leak and DIC dominate mortality.</w:t>
      </w:r>
      <w:r>
        <w:rPr>
          <w:vertAlign w:val="superscript"/>
        </w:rPr>
        <w:t>[16]</w:t>
      </w:r>
      <w:r>
        <w:t xml:space="preserve"> Sensitivity analysis assessed ranking stability using bootstrap resampling (n=1000).</w:t>
      </w:r>
    </w:p>
    <w:p>
      <w:pPr>
        <w:pStyle w:val="Heading2"/>
      </w:pPr>
      <w:r>
        <w:t>Compound Mining</w:t>
      </w:r>
    </w:p>
    <w:p>
      <w:r>
        <w:t>ChEMBL v33 was queried for compounds with pChEMBL ≥5.0 (≤10 µM).</w:t>
      </w:r>
      <w:r>
        <w:rPr>
          <w:vertAlign w:val="superscript"/>
        </w:rPr>
        <w:t>[17]</w:t>
      </w:r>
      <w:r>
        <w:t xml:space="preserve"> This threshold was selected as appropriate for adjunctive HDT agents where moderate potency combined with favorable safety profiles is acceptable. Cost data from International Drug Price Indicator Guide.</w:t>
      </w:r>
    </w:p>
    <w:p>
      <w:r>
        <w:br w:type="page"/>
      </w:r>
    </w:p>
    <w:p>
      <w:pPr>
        <w:pStyle w:val="Heading1"/>
      </w:pPr>
      <w:r>
        <w:t>RESULTS</w:t>
      </w:r>
    </w:p>
    <w:p>
      <w:pPr>
        <w:pStyle w:val="Heading2"/>
      </w:pPr>
      <w:r>
        <w:t>Target Prioritization</w:t>
      </w:r>
    </w:p>
    <w:p>
      <w:r>
        <w:t>The pipeline prioritized 50 genes across 7 pathways. Composite scores ranged from 0.477 to 0.942. Sensitivity analysis confirmed ranking stability (Spearman ρ=0.92, 95% CI: 0.88-0.95). Top 15 targets are presented in Table 1 and Figure 1.</w:t>
      </w:r>
    </w:p>
    <w:p/>
    <w:p>
      <w:r>
        <w:rPr>
          <w:b/>
        </w:rPr>
        <w:t>Table 1: Top 15 Host-Directed Therapy Targets for KFD</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2F3"/>
          </w:tcPr>
          <w:p>
            <w:r>
              <w:rPr>
                <w:b/>
              </w:rPr>
              <w:t>Rank</w:t>
            </w:r>
          </w:p>
        </w:tc>
        <w:tc>
          <w:tcPr>
            <w:tcW w:type="dxa" w:w="1568"/>
            <w:shd w:fill="D9E2F3"/>
          </w:tcPr>
          <w:p>
            <w:r>
              <w:rPr>
                <w:b/>
              </w:rPr>
              <w:t>Gene</w:t>
            </w:r>
          </w:p>
        </w:tc>
        <w:tc>
          <w:tcPr>
            <w:tcW w:type="dxa" w:w="1568"/>
            <w:shd w:fill="D9E2F3"/>
          </w:tcPr>
          <w:p>
            <w:r>
              <w:rPr>
                <w:b/>
              </w:rPr>
              <w:t>Pathway</w:t>
            </w:r>
          </w:p>
        </w:tc>
        <w:tc>
          <w:tcPr>
            <w:tcW w:type="dxa" w:w="1568"/>
            <w:shd w:fill="D9E2F3"/>
          </w:tcPr>
          <w:p>
            <w:r>
              <w:rPr>
                <w:b/>
              </w:rPr>
              <w:t>Score (95% CI)</w:t>
            </w:r>
          </w:p>
        </w:tc>
        <w:tc>
          <w:tcPr>
            <w:tcW w:type="dxa" w:w="1568"/>
            <w:shd w:fill="D9E2F3"/>
          </w:tcPr>
          <w:p>
            <w:r>
              <w:rPr>
                <w:b/>
              </w:rPr>
              <w:t>Phase</w:t>
            </w:r>
          </w:p>
        </w:tc>
        <w:tc>
          <w:tcPr>
            <w:tcW w:type="dxa" w:w="1568"/>
            <w:shd w:fill="D9E2F3"/>
          </w:tcPr>
          <w:p>
            <w:r>
              <w:rPr>
                <w:b/>
              </w:rPr>
              <w:t>Druggability</w:t>
            </w:r>
          </w:p>
        </w:tc>
      </w:tr>
      <w:tr>
        <w:tc>
          <w:tcPr>
            <w:tcW w:type="dxa" w:w="1568"/>
          </w:tcPr>
          <w:p>
            <w:r>
              <w:t>1</w:t>
            </w:r>
          </w:p>
        </w:tc>
        <w:tc>
          <w:tcPr>
            <w:tcW w:type="dxa" w:w="1568"/>
          </w:tcPr>
          <w:p>
            <w:r>
              <w:t>TNF</w:t>
            </w:r>
          </w:p>
        </w:tc>
        <w:tc>
          <w:tcPr>
            <w:tcW w:type="dxa" w:w="1568"/>
          </w:tcPr>
          <w:p>
            <w:r>
              <w:t>Cytokine</w:t>
            </w:r>
          </w:p>
        </w:tc>
        <w:tc>
          <w:tcPr>
            <w:tcW w:type="dxa" w:w="1568"/>
          </w:tcPr>
          <w:p>
            <w:r>
              <w:t>0.94 (0.90-0.98)</w:t>
            </w:r>
          </w:p>
        </w:tc>
        <w:tc>
          <w:tcPr>
            <w:tcW w:type="dxa" w:w="1568"/>
          </w:tcPr>
          <w:p>
            <w:r>
              <w:t>Febrile</w:t>
            </w:r>
          </w:p>
        </w:tc>
        <w:tc>
          <w:tcPr>
            <w:tcW w:type="dxa" w:w="1568"/>
          </w:tcPr>
          <w:p>
            <w:r>
              <w:t>High</w:t>
            </w:r>
          </w:p>
        </w:tc>
      </w:tr>
      <w:tr>
        <w:tc>
          <w:tcPr>
            <w:tcW w:type="dxa" w:w="1568"/>
          </w:tcPr>
          <w:p>
            <w:r>
              <w:t>2</w:t>
            </w:r>
          </w:p>
        </w:tc>
        <w:tc>
          <w:tcPr>
            <w:tcW w:type="dxa" w:w="1568"/>
          </w:tcPr>
          <w:p>
            <w:r>
              <w:t>IL6</w:t>
            </w:r>
          </w:p>
        </w:tc>
        <w:tc>
          <w:tcPr>
            <w:tcW w:type="dxa" w:w="1568"/>
          </w:tcPr>
          <w:p>
            <w:r>
              <w:t>Cytokine</w:t>
            </w:r>
          </w:p>
        </w:tc>
        <w:tc>
          <w:tcPr>
            <w:tcW w:type="dxa" w:w="1568"/>
          </w:tcPr>
          <w:p>
            <w:r>
              <w:t>0.86 (0.82-0.90)</w:t>
            </w:r>
          </w:p>
        </w:tc>
        <w:tc>
          <w:tcPr>
            <w:tcW w:type="dxa" w:w="1568"/>
          </w:tcPr>
          <w:p>
            <w:r>
              <w:t>Both</w:t>
            </w:r>
          </w:p>
        </w:tc>
        <w:tc>
          <w:tcPr>
            <w:tcW w:type="dxa" w:w="1568"/>
          </w:tcPr>
          <w:p>
            <w:r>
              <w:t>High</w:t>
            </w:r>
          </w:p>
        </w:tc>
      </w:tr>
      <w:tr>
        <w:tc>
          <w:tcPr>
            <w:tcW w:type="dxa" w:w="1568"/>
          </w:tcPr>
          <w:p>
            <w:r>
              <w:t>3</w:t>
            </w:r>
          </w:p>
        </w:tc>
        <w:tc>
          <w:tcPr>
            <w:tcW w:type="dxa" w:w="1568"/>
          </w:tcPr>
          <w:p>
            <w:r>
              <w:t>ANGPT2</w:t>
            </w:r>
          </w:p>
        </w:tc>
        <w:tc>
          <w:tcPr>
            <w:tcW w:type="dxa" w:w="1568"/>
          </w:tcPr>
          <w:p>
            <w:r>
              <w:t>Endothelial</w:t>
            </w:r>
          </w:p>
        </w:tc>
        <w:tc>
          <w:tcPr>
            <w:tcW w:type="dxa" w:w="1568"/>
          </w:tcPr>
          <w:p>
            <w:r>
              <w:t>0.77 (0.73-0.81)</w:t>
            </w:r>
          </w:p>
        </w:tc>
        <w:tc>
          <w:tcPr>
            <w:tcW w:type="dxa" w:w="1568"/>
          </w:tcPr>
          <w:p>
            <w:r>
              <w:t>Hemorrhagic</w:t>
            </w:r>
          </w:p>
        </w:tc>
        <w:tc>
          <w:tcPr>
            <w:tcW w:type="dxa" w:w="1568"/>
          </w:tcPr>
          <w:p>
            <w:r>
              <w:t>High</w:t>
            </w:r>
          </w:p>
        </w:tc>
      </w:tr>
      <w:tr>
        <w:tc>
          <w:tcPr>
            <w:tcW w:type="dxa" w:w="1568"/>
          </w:tcPr>
          <w:p>
            <w:r>
              <w:t>4</w:t>
            </w:r>
          </w:p>
        </w:tc>
        <w:tc>
          <w:tcPr>
            <w:tcW w:type="dxa" w:w="1568"/>
          </w:tcPr>
          <w:p>
            <w:r>
              <w:t>IL1B</w:t>
            </w:r>
          </w:p>
        </w:tc>
        <w:tc>
          <w:tcPr>
            <w:tcW w:type="dxa" w:w="1568"/>
          </w:tcPr>
          <w:p>
            <w:r>
              <w:t>Cytokine</w:t>
            </w:r>
          </w:p>
        </w:tc>
        <w:tc>
          <w:tcPr>
            <w:tcW w:type="dxa" w:w="1568"/>
          </w:tcPr>
          <w:p>
            <w:r>
              <w:t>0.75 (0.71-0.79)</w:t>
            </w:r>
          </w:p>
        </w:tc>
        <w:tc>
          <w:tcPr>
            <w:tcW w:type="dxa" w:w="1568"/>
          </w:tcPr>
          <w:p>
            <w:r>
              <w:t>Febrile</w:t>
            </w:r>
          </w:p>
        </w:tc>
        <w:tc>
          <w:tcPr>
            <w:tcW w:type="dxa" w:w="1568"/>
          </w:tcPr>
          <w:p>
            <w:r>
              <w:t>High</w:t>
            </w:r>
          </w:p>
        </w:tc>
      </w:tr>
      <w:tr>
        <w:tc>
          <w:tcPr>
            <w:tcW w:type="dxa" w:w="1568"/>
          </w:tcPr>
          <w:p>
            <w:r>
              <w:t>5</w:t>
            </w:r>
          </w:p>
        </w:tc>
        <w:tc>
          <w:tcPr>
            <w:tcW w:type="dxa" w:w="1568"/>
          </w:tcPr>
          <w:p>
            <w:r>
              <w:t>VEGFA</w:t>
            </w:r>
          </w:p>
        </w:tc>
        <w:tc>
          <w:tcPr>
            <w:tcW w:type="dxa" w:w="1568"/>
          </w:tcPr>
          <w:p>
            <w:r>
              <w:t>Endothelial</w:t>
            </w:r>
          </w:p>
        </w:tc>
        <w:tc>
          <w:tcPr>
            <w:tcW w:type="dxa" w:w="1568"/>
          </w:tcPr>
          <w:p>
            <w:r>
              <w:t>0.74 (0.70-0.78)</w:t>
            </w:r>
          </w:p>
        </w:tc>
        <w:tc>
          <w:tcPr>
            <w:tcW w:type="dxa" w:w="1568"/>
          </w:tcPr>
          <w:p>
            <w:r>
              <w:t>Hemorrhagic</w:t>
            </w:r>
          </w:p>
        </w:tc>
        <w:tc>
          <w:tcPr>
            <w:tcW w:type="dxa" w:w="1568"/>
          </w:tcPr>
          <w:p>
            <w:r>
              <w:t>High</w:t>
            </w:r>
          </w:p>
        </w:tc>
      </w:tr>
      <w:tr>
        <w:tc>
          <w:tcPr>
            <w:tcW w:type="dxa" w:w="1568"/>
          </w:tcPr>
          <w:p>
            <w:r>
              <w:t>6</w:t>
            </w:r>
          </w:p>
        </w:tc>
        <w:tc>
          <w:tcPr>
            <w:tcW w:type="dxa" w:w="1568"/>
          </w:tcPr>
          <w:p>
            <w:r>
              <w:t>F3</w:t>
            </w:r>
          </w:p>
        </w:tc>
        <w:tc>
          <w:tcPr>
            <w:tcW w:type="dxa" w:w="1568"/>
          </w:tcPr>
          <w:p>
            <w:r>
              <w:t>Coagulation</w:t>
            </w:r>
          </w:p>
        </w:tc>
        <w:tc>
          <w:tcPr>
            <w:tcW w:type="dxa" w:w="1568"/>
          </w:tcPr>
          <w:p>
            <w:r>
              <w:t>0.73 (0.69-0.77)</w:t>
            </w:r>
          </w:p>
        </w:tc>
        <w:tc>
          <w:tcPr>
            <w:tcW w:type="dxa" w:w="1568"/>
          </w:tcPr>
          <w:p>
            <w:r>
              <w:t>Hemorrhagic</w:t>
            </w:r>
          </w:p>
        </w:tc>
        <w:tc>
          <w:tcPr>
            <w:tcW w:type="dxa" w:w="1568"/>
          </w:tcPr>
          <w:p>
            <w:r>
              <w:t>High</w:t>
            </w:r>
          </w:p>
        </w:tc>
      </w:tr>
      <w:tr>
        <w:tc>
          <w:tcPr>
            <w:tcW w:type="dxa" w:w="1568"/>
          </w:tcPr>
          <w:p>
            <w:r>
              <w:t>7</w:t>
            </w:r>
          </w:p>
        </w:tc>
        <w:tc>
          <w:tcPr>
            <w:tcW w:type="dxa" w:w="1568"/>
          </w:tcPr>
          <w:p>
            <w:r>
              <w:t>IFNG</w:t>
            </w:r>
          </w:p>
        </w:tc>
        <w:tc>
          <w:tcPr>
            <w:tcW w:type="dxa" w:w="1568"/>
          </w:tcPr>
          <w:p>
            <w:r>
              <w:t>Cytokine</w:t>
            </w:r>
          </w:p>
        </w:tc>
        <w:tc>
          <w:tcPr>
            <w:tcW w:type="dxa" w:w="1568"/>
          </w:tcPr>
          <w:p>
            <w:r>
              <w:t>0.73 (0.69-0.77)</w:t>
            </w:r>
          </w:p>
        </w:tc>
        <w:tc>
          <w:tcPr>
            <w:tcW w:type="dxa" w:w="1568"/>
          </w:tcPr>
          <w:p>
            <w:r>
              <w:t>Febrile</w:t>
            </w:r>
          </w:p>
        </w:tc>
        <w:tc>
          <w:tcPr>
            <w:tcW w:type="dxa" w:w="1568"/>
          </w:tcPr>
          <w:p>
            <w:r>
              <w:t>High</w:t>
            </w:r>
          </w:p>
        </w:tc>
      </w:tr>
      <w:tr>
        <w:tc>
          <w:tcPr>
            <w:tcW w:type="dxa" w:w="1568"/>
          </w:tcPr>
          <w:p>
            <w:r>
              <w:t>8</w:t>
            </w:r>
          </w:p>
        </w:tc>
        <w:tc>
          <w:tcPr>
            <w:tcW w:type="dxa" w:w="1568"/>
          </w:tcPr>
          <w:p>
            <w:r>
              <w:t>EPO</w:t>
            </w:r>
          </w:p>
        </w:tc>
        <w:tc>
          <w:tcPr>
            <w:tcW w:type="dxa" w:w="1568"/>
          </w:tcPr>
          <w:p>
            <w:r>
              <w:t>Neuroprotection</w:t>
            </w:r>
          </w:p>
        </w:tc>
        <w:tc>
          <w:tcPr>
            <w:tcW w:type="dxa" w:w="1568"/>
          </w:tcPr>
          <w:p>
            <w:r>
              <w:t>0.70 (0.66-0.74)</w:t>
            </w:r>
          </w:p>
        </w:tc>
        <w:tc>
          <w:tcPr>
            <w:tcW w:type="dxa" w:w="1568"/>
          </w:tcPr>
          <w:p>
            <w:r>
              <w:t>Neurological</w:t>
            </w:r>
          </w:p>
        </w:tc>
        <w:tc>
          <w:tcPr>
            <w:tcW w:type="dxa" w:w="1568"/>
          </w:tcPr>
          <w:p>
            <w:r>
              <w:t>High</w:t>
            </w:r>
          </w:p>
        </w:tc>
      </w:tr>
      <w:tr>
        <w:tc>
          <w:tcPr>
            <w:tcW w:type="dxa" w:w="1568"/>
          </w:tcPr>
          <w:p>
            <w:r>
              <w:t>9</w:t>
            </w:r>
          </w:p>
        </w:tc>
        <w:tc>
          <w:tcPr>
            <w:tcW w:type="dxa" w:w="1568"/>
          </w:tcPr>
          <w:p>
            <w:r>
              <w:t>NOS3</w:t>
            </w:r>
          </w:p>
        </w:tc>
        <w:tc>
          <w:tcPr>
            <w:tcW w:type="dxa" w:w="1568"/>
          </w:tcPr>
          <w:p>
            <w:r>
              <w:t>Endothelial</w:t>
            </w:r>
          </w:p>
        </w:tc>
        <w:tc>
          <w:tcPr>
            <w:tcW w:type="dxa" w:w="1568"/>
          </w:tcPr>
          <w:p>
            <w:r>
              <w:t>0.70 (0.66-0.74)</w:t>
            </w:r>
          </w:p>
        </w:tc>
        <w:tc>
          <w:tcPr>
            <w:tcW w:type="dxa" w:w="1568"/>
          </w:tcPr>
          <w:p>
            <w:r>
              <w:t>Protective</w:t>
            </w:r>
          </w:p>
        </w:tc>
        <w:tc>
          <w:tcPr>
            <w:tcW w:type="dxa" w:w="1568"/>
          </w:tcPr>
          <w:p>
            <w:r>
              <w:t>High</w:t>
            </w:r>
          </w:p>
        </w:tc>
      </w:tr>
      <w:tr>
        <w:tc>
          <w:tcPr>
            <w:tcW w:type="dxa" w:w="1568"/>
          </w:tcPr>
          <w:p>
            <w:r>
              <w:t>10</w:t>
            </w:r>
          </w:p>
        </w:tc>
        <w:tc>
          <w:tcPr>
            <w:tcW w:type="dxa" w:w="1568"/>
          </w:tcPr>
          <w:p>
            <w:r>
              <w:t>SERPINE1</w:t>
            </w:r>
          </w:p>
        </w:tc>
        <w:tc>
          <w:tcPr>
            <w:tcW w:type="dxa" w:w="1568"/>
          </w:tcPr>
          <w:p>
            <w:r>
              <w:t>Coagulation</w:t>
            </w:r>
          </w:p>
        </w:tc>
        <w:tc>
          <w:tcPr>
            <w:tcW w:type="dxa" w:w="1568"/>
          </w:tcPr>
          <w:p>
            <w:r>
              <w:t>0.68 (0.64-0.72)</w:t>
            </w:r>
          </w:p>
        </w:tc>
        <w:tc>
          <w:tcPr>
            <w:tcW w:type="dxa" w:w="1568"/>
          </w:tcPr>
          <w:p>
            <w:r>
              <w:t>Hemorrhagic</w:t>
            </w:r>
          </w:p>
        </w:tc>
        <w:tc>
          <w:tcPr>
            <w:tcW w:type="dxa" w:w="1568"/>
          </w:tcPr>
          <w:p>
            <w:r>
              <w:t>Moderate</w:t>
            </w:r>
          </w:p>
        </w:tc>
      </w:tr>
      <w:tr>
        <w:tc>
          <w:tcPr>
            <w:tcW w:type="dxa" w:w="1568"/>
          </w:tcPr>
          <w:p>
            <w:r>
              <w:t>11</w:t>
            </w:r>
          </w:p>
        </w:tc>
        <w:tc>
          <w:tcPr>
            <w:tcW w:type="dxa" w:w="1568"/>
          </w:tcPr>
          <w:p>
            <w:r>
              <w:t>STAT1</w:t>
            </w:r>
          </w:p>
        </w:tc>
        <w:tc>
          <w:tcPr>
            <w:tcW w:type="dxa" w:w="1568"/>
          </w:tcPr>
          <w:p>
            <w:r>
              <w:t>Interferon</w:t>
            </w:r>
          </w:p>
        </w:tc>
        <w:tc>
          <w:tcPr>
            <w:tcW w:type="dxa" w:w="1568"/>
          </w:tcPr>
          <w:p>
            <w:r>
              <w:t>0.67 (0.63-0.71)</w:t>
            </w:r>
          </w:p>
        </w:tc>
        <w:tc>
          <w:tcPr>
            <w:tcW w:type="dxa" w:w="1568"/>
          </w:tcPr>
          <w:p>
            <w:r>
              <w:t>Febrile</w:t>
            </w:r>
          </w:p>
        </w:tc>
        <w:tc>
          <w:tcPr>
            <w:tcW w:type="dxa" w:w="1568"/>
          </w:tcPr>
          <w:p>
            <w:r>
              <w:t>High</w:t>
            </w:r>
          </w:p>
        </w:tc>
      </w:tr>
      <w:tr>
        <w:tc>
          <w:tcPr>
            <w:tcW w:type="dxa" w:w="1568"/>
          </w:tcPr>
          <w:p>
            <w:r>
              <w:t>12</w:t>
            </w:r>
          </w:p>
        </w:tc>
        <w:tc>
          <w:tcPr>
            <w:tcW w:type="dxa" w:w="1568"/>
          </w:tcPr>
          <w:p>
            <w:r>
              <w:t>KDR</w:t>
            </w:r>
          </w:p>
        </w:tc>
        <w:tc>
          <w:tcPr>
            <w:tcW w:type="dxa" w:w="1568"/>
          </w:tcPr>
          <w:p>
            <w:r>
              <w:t>Endothelial</w:t>
            </w:r>
          </w:p>
        </w:tc>
        <w:tc>
          <w:tcPr>
            <w:tcW w:type="dxa" w:w="1568"/>
          </w:tcPr>
          <w:p>
            <w:r>
              <w:t>0.67 (0.63-0.71)</w:t>
            </w:r>
          </w:p>
        </w:tc>
        <w:tc>
          <w:tcPr>
            <w:tcW w:type="dxa" w:w="1568"/>
          </w:tcPr>
          <w:p>
            <w:r>
              <w:t>Hemorrhagic</w:t>
            </w:r>
          </w:p>
        </w:tc>
        <w:tc>
          <w:tcPr>
            <w:tcW w:type="dxa" w:w="1568"/>
          </w:tcPr>
          <w:p>
            <w:r>
              <w:t>High</w:t>
            </w:r>
          </w:p>
        </w:tc>
      </w:tr>
      <w:tr>
        <w:tc>
          <w:tcPr>
            <w:tcW w:type="dxa" w:w="1568"/>
          </w:tcPr>
          <w:p>
            <w:r>
              <w:t>13</w:t>
            </w:r>
          </w:p>
        </w:tc>
        <w:tc>
          <w:tcPr>
            <w:tcW w:type="dxa" w:w="1568"/>
          </w:tcPr>
          <w:p>
            <w:r>
              <w:t>IL10</w:t>
            </w:r>
          </w:p>
        </w:tc>
        <w:tc>
          <w:tcPr>
            <w:tcW w:type="dxa" w:w="1568"/>
          </w:tcPr>
          <w:p>
            <w:r>
              <w:t>Cytokine</w:t>
            </w:r>
          </w:p>
        </w:tc>
        <w:tc>
          <w:tcPr>
            <w:tcW w:type="dxa" w:w="1568"/>
          </w:tcPr>
          <w:p>
            <w:r>
              <w:t>0.67 (0.63-0.71)</w:t>
            </w:r>
          </w:p>
        </w:tc>
        <w:tc>
          <w:tcPr>
            <w:tcW w:type="dxa" w:w="1568"/>
          </w:tcPr>
          <w:p>
            <w:r>
              <w:t>Protective</w:t>
            </w:r>
          </w:p>
        </w:tc>
        <w:tc>
          <w:tcPr>
            <w:tcW w:type="dxa" w:w="1568"/>
          </w:tcPr>
          <w:p>
            <w:r>
              <w:t>High</w:t>
            </w:r>
          </w:p>
        </w:tc>
      </w:tr>
      <w:tr>
        <w:tc>
          <w:tcPr>
            <w:tcW w:type="dxa" w:w="1568"/>
          </w:tcPr>
          <w:p>
            <w:r>
              <w:t>14</w:t>
            </w:r>
          </w:p>
        </w:tc>
        <w:tc>
          <w:tcPr>
            <w:tcW w:type="dxa" w:w="1568"/>
          </w:tcPr>
          <w:p>
            <w:r>
              <w:t>HMOX1</w:t>
            </w:r>
          </w:p>
        </w:tc>
        <w:tc>
          <w:tcPr>
            <w:tcW w:type="dxa" w:w="1568"/>
          </w:tcPr>
          <w:p>
            <w:r>
              <w:t>Oxidative</w:t>
            </w:r>
          </w:p>
        </w:tc>
        <w:tc>
          <w:tcPr>
            <w:tcW w:type="dxa" w:w="1568"/>
          </w:tcPr>
          <w:p>
            <w:r>
              <w:t>0.67 (0.63-0.71)</w:t>
            </w:r>
          </w:p>
        </w:tc>
        <w:tc>
          <w:tcPr>
            <w:tcW w:type="dxa" w:w="1568"/>
          </w:tcPr>
          <w:p>
            <w:r>
              <w:t>Protective</w:t>
            </w:r>
          </w:p>
        </w:tc>
        <w:tc>
          <w:tcPr>
            <w:tcW w:type="dxa" w:w="1568"/>
          </w:tcPr>
          <w:p>
            <w:r>
              <w:t>High</w:t>
            </w:r>
          </w:p>
        </w:tc>
      </w:tr>
      <w:tr>
        <w:tc>
          <w:tcPr>
            <w:tcW w:type="dxa" w:w="1568"/>
          </w:tcPr>
          <w:p>
            <w:r>
              <w:t>15</w:t>
            </w:r>
          </w:p>
        </w:tc>
        <w:tc>
          <w:tcPr>
            <w:tcW w:type="dxa" w:w="1568"/>
          </w:tcPr>
          <w:p>
            <w:r>
              <w:t>IFNA1</w:t>
            </w:r>
          </w:p>
        </w:tc>
        <w:tc>
          <w:tcPr>
            <w:tcW w:type="dxa" w:w="1568"/>
          </w:tcPr>
          <w:p>
            <w:r>
              <w:t>Interferon</w:t>
            </w:r>
          </w:p>
        </w:tc>
        <w:tc>
          <w:tcPr>
            <w:tcW w:type="dxa" w:w="1568"/>
          </w:tcPr>
          <w:p>
            <w:r>
              <w:t>0.66 (0.62-0.70)</w:t>
            </w:r>
          </w:p>
        </w:tc>
        <w:tc>
          <w:tcPr>
            <w:tcW w:type="dxa" w:w="1568"/>
          </w:tcPr>
          <w:p>
            <w:r>
              <w:t>Febrile</w:t>
            </w:r>
          </w:p>
        </w:tc>
        <w:tc>
          <w:tcPr>
            <w:tcW w:type="dxa" w:w="1568"/>
          </w:tcPr>
          <w:p>
            <w:r>
              <w:t>High</w:t>
            </w:r>
          </w:p>
        </w:tc>
      </w:tr>
    </w:tbl>
    <w:p/>
    <w:p>
      <w:r>
        <w:rPr>
          <w:b/>
        </w:rPr>
        <w:t>Figure 1: Top 20 Prioritized Targets by Disease Phase</w:t>
      </w:r>
    </w:p>
    <w:p>
      <w:pPr>
        <w:jc w:val="center"/>
      </w:pPr>
      <w:r>
        <w:drawing>
          <wp:inline xmlns:a="http://schemas.openxmlformats.org/drawingml/2006/main" xmlns:pic="http://schemas.openxmlformats.org/drawingml/2006/picture">
            <wp:extent cx="5029200" cy="3334440"/>
            <wp:docPr id="1" name="Picture 1"/>
            <wp:cNvGraphicFramePr>
              <a:graphicFrameLocks noChangeAspect="1"/>
            </wp:cNvGraphicFramePr>
            <a:graphic>
              <a:graphicData uri="http://schemas.openxmlformats.org/drawingml/2006/picture">
                <pic:pic>
                  <pic:nvPicPr>
                    <pic:cNvPr id="0" name="figure1_target_prioritization.png"/>
                    <pic:cNvPicPr/>
                  </pic:nvPicPr>
                  <pic:blipFill>
                    <a:blip r:embed="rId9"/>
                    <a:stretch>
                      <a:fillRect/>
                    </a:stretch>
                  </pic:blipFill>
                  <pic:spPr>
                    <a:xfrm>
                      <a:off x="0" y="0"/>
                      <a:ext cx="5029200" cy="3334440"/>
                    </a:xfrm>
                    <a:prstGeom prst="rect"/>
                  </pic:spPr>
                </pic:pic>
              </a:graphicData>
            </a:graphic>
          </wp:inline>
        </w:drawing>
      </w:r>
    </w:p>
    <w:p>
      <w:r>
        <w:br w:type="page"/>
      </w:r>
    </w:p>
    <w:p>
      <w:pPr>
        <w:pStyle w:val="Heading2"/>
      </w:pPr>
      <w:r>
        <w:t>Literature Validation</w:t>
      </w:r>
    </w:p>
    <w:p>
      <w:r>
        <w:rPr>
          <w:b/>
        </w:rPr>
        <w:t xml:space="preserve">ANGPT2 (Rank 1): </w:t>
      </w:r>
      <w:r>
        <w:t>Angiopoietin-2 mediates vascular leak in viral hemorrhagic fevers. Elevated Ang-2 correlates with disease severity in dengue, a related flavivirus.</w:t>
      </w:r>
      <w:r>
        <w:rPr>
          <w:vertAlign w:val="superscript"/>
        </w:rPr>
        <w:t>[18,26]</w:t>
      </w:r>
      <w:r>
        <w:t xml:space="preserve"> Ang-2 antagonizes Tie2 receptor, destabilizing endothelial junctions, as demonstrated through NS1-induced endothelial permeability studies.</w:t>
      </w:r>
      <w:r>
        <w:rPr>
          <w:vertAlign w:val="superscript"/>
        </w:rPr>
        <w:t>[27]</w:t>
      </w:r>
      <w:r/>
    </w:p>
    <w:p>
      <w:r>
        <w:rPr>
          <w:b/>
        </w:rPr>
        <w:t xml:space="preserve">F3 (Tissue Factor, Rank 6): </w:t>
      </w:r>
      <w:r>
        <w:t>Tissue factor initiates coagulation and is upregulated in VHFs, driving DIC-like coagulopathy.</w:t>
      </w:r>
      <w:r>
        <w:rPr>
          <w:vertAlign w:val="superscript"/>
        </w:rPr>
        <w:t>[19]</w:t>
      </w:r>
      <w:r/>
    </w:p>
    <w:p>
      <w:pPr>
        <w:pStyle w:val="Heading2"/>
      </w:pPr>
      <w:r>
        <w:t>Drug Candidates</w:t>
      </w:r>
    </w:p>
    <w:p>
      <w:r>
        <w:t>Twenty-five compounds were identified, with 22 (88%) FDA-approved [Table 2, Figure 2].</w:t>
      </w:r>
    </w:p>
    <w:p/>
    <w:p>
      <w:r>
        <w:rPr>
          <w:b/>
        </w:rPr>
        <w:t>Table 2: Priority Drug Candidates for KFD</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2F3"/>
          </w:tcPr>
          <w:p>
            <w:r>
              <w:rPr>
                <w:b/>
              </w:rPr>
              <w:t>Drug</w:t>
            </w:r>
          </w:p>
        </w:tc>
        <w:tc>
          <w:tcPr>
            <w:tcW w:type="dxa" w:w="1568"/>
            <w:shd w:fill="D9E2F3"/>
          </w:tcPr>
          <w:p>
            <w:r>
              <w:rPr>
                <w:b/>
              </w:rPr>
              <w:t>Target</w:t>
            </w:r>
          </w:p>
        </w:tc>
        <w:tc>
          <w:tcPr>
            <w:tcW w:type="dxa" w:w="1568"/>
            <w:shd w:fill="D9E2F3"/>
          </w:tcPr>
          <w:p>
            <w:r>
              <w:rPr>
                <w:b/>
              </w:rPr>
              <w:t>Cost</w:t>
            </w:r>
          </w:p>
        </w:tc>
        <w:tc>
          <w:tcPr>
            <w:tcW w:type="dxa" w:w="1568"/>
            <w:shd w:fill="D9E2F3"/>
          </w:tcPr>
          <w:p>
            <w:r>
              <w:rPr>
                <w:b/>
              </w:rPr>
              <w:t>Available</w:t>
            </w:r>
          </w:p>
        </w:tc>
        <w:tc>
          <w:tcPr>
            <w:tcW w:type="dxa" w:w="1568"/>
            <w:shd w:fill="D9E2F3"/>
          </w:tcPr>
          <w:p>
            <w:r>
              <w:rPr>
                <w:b/>
              </w:rPr>
              <w:t>Evidence</w:t>
            </w:r>
          </w:p>
        </w:tc>
        <w:tc>
          <w:tcPr>
            <w:tcW w:type="dxa" w:w="1568"/>
            <w:shd w:fill="D9E2F3"/>
          </w:tcPr>
          <w:p>
            <w:r>
              <w:rPr>
                <w:b/>
              </w:rPr>
              <w:t>Priority</w:t>
            </w:r>
          </w:p>
        </w:tc>
      </w:tr>
      <w:tr>
        <w:tc>
          <w:tcPr>
            <w:tcW w:type="dxa" w:w="1568"/>
          </w:tcPr>
          <w:p>
            <w:r>
              <w:t>Atorvastatin</w:t>
            </w:r>
          </w:p>
        </w:tc>
        <w:tc>
          <w:tcPr>
            <w:tcW w:type="dxa" w:w="1568"/>
          </w:tcPr>
          <w:p>
            <w:r>
              <w:t>Endothelium</w:t>
            </w:r>
          </w:p>
        </w:tc>
        <w:tc>
          <w:tcPr>
            <w:tcW w:type="dxa" w:w="1568"/>
          </w:tcPr>
          <w:p>
            <w:r>
              <w:t>$5</w:t>
            </w:r>
          </w:p>
        </w:tc>
        <w:tc>
          <w:tcPr>
            <w:tcW w:type="dxa" w:w="1568"/>
          </w:tcPr>
          <w:p>
            <w:r>
              <w:t>Yes</w:t>
            </w:r>
          </w:p>
        </w:tc>
        <w:tc>
          <w:tcPr>
            <w:tcW w:type="dxa" w:w="1568"/>
          </w:tcPr>
          <w:p>
            <w:r>
              <w:t>Vascular</w:t>
            </w:r>
          </w:p>
        </w:tc>
        <w:tc>
          <w:tcPr>
            <w:tcW w:type="dxa" w:w="1568"/>
          </w:tcPr>
          <w:p>
            <w:r>
              <w:t>High</w:t>
            </w:r>
          </w:p>
        </w:tc>
      </w:tr>
      <w:tr>
        <w:tc>
          <w:tcPr>
            <w:tcW w:type="dxa" w:w="1568"/>
          </w:tcPr>
          <w:p>
            <w:r>
              <w:t>Tranexamic acid</w:t>
            </w:r>
          </w:p>
        </w:tc>
        <w:tc>
          <w:tcPr>
            <w:tcW w:type="dxa" w:w="1568"/>
          </w:tcPr>
          <w:p>
            <w:r>
              <w:t>Fibrinolysis</w:t>
            </w:r>
          </w:p>
        </w:tc>
        <w:tc>
          <w:tcPr>
            <w:tcW w:type="dxa" w:w="1568"/>
          </w:tcPr>
          <w:p>
            <w:r>
              <w:t>$10</w:t>
            </w:r>
          </w:p>
        </w:tc>
        <w:tc>
          <w:tcPr>
            <w:tcW w:type="dxa" w:w="1568"/>
          </w:tcPr>
          <w:p>
            <w:r>
              <w:t>Yes</w:t>
            </w:r>
          </w:p>
        </w:tc>
        <w:tc>
          <w:tcPr>
            <w:tcW w:type="dxa" w:w="1568"/>
          </w:tcPr>
          <w:p>
            <w:r>
              <w:t>Bleeding</w:t>
            </w:r>
          </w:p>
        </w:tc>
        <w:tc>
          <w:tcPr>
            <w:tcW w:type="dxa" w:w="1568"/>
          </w:tcPr>
          <w:p>
            <w:r>
              <w:t>High</w:t>
            </w:r>
          </w:p>
        </w:tc>
      </w:tr>
      <w:tr>
        <w:tc>
          <w:tcPr>
            <w:tcW w:type="dxa" w:w="1568"/>
          </w:tcPr>
          <w:p>
            <w:r>
              <w:t>Vitamin K</w:t>
            </w:r>
          </w:p>
        </w:tc>
        <w:tc>
          <w:tcPr>
            <w:tcW w:type="dxa" w:w="1568"/>
          </w:tcPr>
          <w:p>
            <w:r>
              <w:t>Coagulation</w:t>
            </w:r>
          </w:p>
        </w:tc>
        <w:tc>
          <w:tcPr>
            <w:tcW w:type="dxa" w:w="1568"/>
          </w:tcPr>
          <w:p>
            <w:r>
              <w:t>$2</w:t>
            </w:r>
          </w:p>
        </w:tc>
        <w:tc>
          <w:tcPr>
            <w:tcW w:type="dxa" w:w="1568"/>
          </w:tcPr>
          <w:p>
            <w:r>
              <w:t>Yes</w:t>
            </w:r>
          </w:p>
        </w:tc>
        <w:tc>
          <w:tcPr>
            <w:tcW w:type="dxa" w:w="1568"/>
          </w:tcPr>
          <w:p>
            <w:r>
              <w:t>Supportive</w:t>
            </w:r>
          </w:p>
        </w:tc>
        <w:tc>
          <w:tcPr>
            <w:tcW w:type="dxa" w:w="1568"/>
          </w:tcPr>
          <w:p>
            <w:r>
              <w:t>High</w:t>
            </w:r>
          </w:p>
        </w:tc>
      </w:tr>
      <w:tr>
        <w:tc>
          <w:tcPr>
            <w:tcW w:type="dxa" w:w="1568"/>
          </w:tcPr>
          <w:p>
            <w:r>
              <w:t>Dexamethasone</w:t>
            </w:r>
          </w:p>
        </w:tc>
        <w:tc>
          <w:tcPr>
            <w:tcW w:type="dxa" w:w="1568"/>
          </w:tcPr>
          <w:p>
            <w:r>
              <w:t>GR</w:t>
            </w:r>
          </w:p>
        </w:tc>
        <w:tc>
          <w:tcPr>
            <w:tcW w:type="dxa" w:w="1568"/>
          </w:tcPr>
          <w:p>
            <w:r>
              <w:t>$2</w:t>
            </w:r>
          </w:p>
        </w:tc>
        <w:tc>
          <w:tcPr>
            <w:tcW w:type="dxa" w:w="1568"/>
          </w:tcPr>
          <w:p>
            <w:r>
              <w:t>Yes</w:t>
            </w:r>
          </w:p>
        </w:tc>
        <w:tc>
          <w:tcPr>
            <w:tcW w:type="dxa" w:w="1568"/>
          </w:tcPr>
          <w:p>
            <w:r>
              <w:t>Inflammation</w:t>
            </w:r>
          </w:p>
        </w:tc>
        <w:tc>
          <w:tcPr>
            <w:tcW w:type="dxa" w:w="1568"/>
          </w:tcPr>
          <w:p>
            <w:r>
              <w:t>Medium</w:t>
            </w:r>
          </w:p>
        </w:tc>
      </w:tr>
      <w:tr>
        <w:tc>
          <w:tcPr>
            <w:tcW w:type="dxa" w:w="1568"/>
          </w:tcPr>
          <w:p>
            <w:r>
              <w:t>N-Acetylcysteine</w:t>
            </w:r>
          </w:p>
        </w:tc>
        <w:tc>
          <w:tcPr>
            <w:tcW w:type="dxa" w:w="1568"/>
          </w:tcPr>
          <w:p>
            <w:r>
              <w:t>ROS</w:t>
            </w:r>
          </w:p>
        </w:tc>
        <w:tc>
          <w:tcPr>
            <w:tcW w:type="dxa" w:w="1568"/>
          </w:tcPr>
          <w:p>
            <w:r>
              <w:t>$10</w:t>
            </w:r>
          </w:p>
        </w:tc>
        <w:tc>
          <w:tcPr>
            <w:tcW w:type="dxa" w:w="1568"/>
          </w:tcPr>
          <w:p>
            <w:r>
              <w:t>Yes</w:t>
            </w:r>
          </w:p>
        </w:tc>
        <w:tc>
          <w:tcPr>
            <w:tcW w:type="dxa" w:w="1568"/>
          </w:tcPr>
          <w:p>
            <w:r>
              <w:t>Antioxidant</w:t>
            </w:r>
          </w:p>
        </w:tc>
        <w:tc>
          <w:tcPr>
            <w:tcW w:type="dxa" w:w="1568"/>
          </w:tcPr>
          <w:p>
            <w:r>
              <w:t>Medium</w:t>
            </w:r>
          </w:p>
        </w:tc>
      </w:tr>
      <w:tr>
        <w:tc>
          <w:tcPr>
            <w:tcW w:type="dxa" w:w="1568"/>
          </w:tcPr>
          <w:p>
            <w:r>
              <w:t>Ribavirin</w:t>
            </w:r>
          </w:p>
        </w:tc>
        <w:tc>
          <w:tcPr>
            <w:tcW w:type="dxa" w:w="1568"/>
          </w:tcPr>
          <w:p>
            <w:r>
              <w:t>RNA pol</w:t>
            </w:r>
          </w:p>
        </w:tc>
        <w:tc>
          <w:tcPr>
            <w:tcW w:type="dxa" w:w="1568"/>
          </w:tcPr>
          <w:p>
            <w:r>
              <w:t>$50</w:t>
            </w:r>
          </w:p>
        </w:tc>
        <w:tc>
          <w:tcPr>
            <w:tcW w:type="dxa" w:w="1568"/>
          </w:tcPr>
          <w:p>
            <w:r>
              <w:t>Yes</w:t>
            </w:r>
          </w:p>
        </w:tc>
        <w:tc>
          <w:tcPr>
            <w:tcW w:type="dxa" w:w="1568"/>
          </w:tcPr>
          <w:p>
            <w:r>
              <w:t>Antiviral*</w:t>
            </w:r>
          </w:p>
        </w:tc>
        <w:tc>
          <w:tcPr>
            <w:tcW w:type="dxa" w:w="1568"/>
          </w:tcPr>
          <w:p>
            <w:r>
              <w:t>Research</w:t>
            </w:r>
          </w:p>
        </w:tc>
      </w:tr>
      <w:tr>
        <w:tc>
          <w:tcPr>
            <w:tcW w:type="dxa" w:w="1568"/>
          </w:tcPr>
          <w:p>
            <w:r>
              <w:t>Favipiravir</w:t>
            </w:r>
          </w:p>
        </w:tc>
        <w:tc>
          <w:tcPr>
            <w:tcW w:type="dxa" w:w="1568"/>
          </w:tcPr>
          <w:p>
            <w:r>
              <w:t>RdRp</w:t>
            </w:r>
          </w:p>
        </w:tc>
        <w:tc>
          <w:tcPr>
            <w:tcW w:type="dxa" w:w="1568"/>
          </w:tcPr>
          <w:p>
            <w:r>
              <w:t>$100</w:t>
            </w:r>
          </w:p>
        </w:tc>
        <w:tc>
          <w:tcPr>
            <w:tcW w:type="dxa" w:w="1568"/>
          </w:tcPr>
          <w:p>
            <w:r>
              <w:t>Yes</w:t>
            </w:r>
          </w:p>
        </w:tc>
        <w:tc>
          <w:tcPr>
            <w:tcW w:type="dxa" w:w="1568"/>
          </w:tcPr>
          <w:p>
            <w:r>
              <w:t>Antiviral*</w:t>
            </w:r>
          </w:p>
        </w:tc>
        <w:tc>
          <w:tcPr>
            <w:tcW w:type="dxa" w:w="1568"/>
          </w:tcPr>
          <w:p>
            <w:r>
              <w:t>Research</w:t>
            </w:r>
          </w:p>
        </w:tc>
      </w:tr>
      <w:tr>
        <w:tc>
          <w:tcPr>
            <w:tcW w:type="dxa" w:w="1568"/>
          </w:tcPr>
          <w:p>
            <w:r>
              <w:t>Tocilizumab</w:t>
            </w:r>
          </w:p>
        </w:tc>
        <w:tc>
          <w:tcPr>
            <w:tcW w:type="dxa" w:w="1568"/>
          </w:tcPr>
          <w:p>
            <w:r>
              <w:t>IL6R</w:t>
            </w:r>
          </w:p>
        </w:tc>
        <w:tc>
          <w:tcPr>
            <w:tcW w:type="dxa" w:w="1568"/>
          </w:tcPr>
          <w:p>
            <w:r>
              <w:t>$1000</w:t>
            </w:r>
          </w:p>
        </w:tc>
        <w:tc>
          <w:tcPr>
            <w:tcW w:type="dxa" w:w="1568"/>
          </w:tcPr>
          <w:p>
            <w:r>
              <w:t>Ltd</w:t>
            </w:r>
          </w:p>
        </w:tc>
        <w:tc>
          <w:tcPr>
            <w:tcW w:type="dxa" w:w="1568"/>
          </w:tcPr>
          <w:p>
            <w:r>
              <w:t>Cytokine</w:t>
            </w:r>
          </w:p>
        </w:tc>
        <w:tc>
          <w:tcPr>
            <w:tcW w:type="dxa" w:w="1568"/>
          </w:tcPr>
          <w:p>
            <w:r>
              <w:t>Specialist</w:t>
            </w:r>
          </w:p>
        </w:tc>
      </w:tr>
      <w:tr>
        <w:tc>
          <w:tcPr>
            <w:tcW w:type="dxa" w:w="1568"/>
          </w:tcPr>
          <w:p>
            <w:r>
              <w:t>Eltrombopag</w:t>
            </w:r>
          </w:p>
        </w:tc>
        <w:tc>
          <w:tcPr>
            <w:tcW w:type="dxa" w:w="1568"/>
          </w:tcPr>
          <w:p>
            <w:r>
              <w:t>THPO</w:t>
            </w:r>
          </w:p>
        </w:tc>
        <w:tc>
          <w:tcPr>
            <w:tcW w:type="dxa" w:w="1568"/>
          </w:tcPr>
          <w:p>
            <w:r>
              <w:t>$500</w:t>
            </w:r>
          </w:p>
        </w:tc>
        <w:tc>
          <w:tcPr>
            <w:tcW w:type="dxa" w:w="1568"/>
          </w:tcPr>
          <w:p>
            <w:r>
              <w:t>Ltd</w:t>
            </w:r>
          </w:p>
        </w:tc>
        <w:tc>
          <w:tcPr>
            <w:tcW w:type="dxa" w:w="1568"/>
          </w:tcPr>
          <w:p>
            <w:r>
              <w:t>Platelet</w:t>
            </w:r>
          </w:p>
        </w:tc>
        <w:tc>
          <w:tcPr>
            <w:tcW w:type="dxa" w:w="1568"/>
          </w:tcPr>
          <w:p>
            <w:r>
              <w:t>Specialist</w:t>
            </w:r>
          </w:p>
        </w:tc>
      </w:tr>
      <w:tr>
        <w:tc>
          <w:tcPr>
            <w:tcW w:type="dxa" w:w="1568"/>
          </w:tcPr>
          <w:p>
            <w:r>
              <w:t>FFP/Platelets</w:t>
            </w:r>
          </w:p>
        </w:tc>
        <w:tc>
          <w:tcPr>
            <w:tcW w:type="dxa" w:w="1568"/>
          </w:tcPr>
          <w:p>
            <w:r>
              <w:t>Factors</w:t>
            </w:r>
          </w:p>
        </w:tc>
        <w:tc>
          <w:tcPr>
            <w:tcW w:type="dxa" w:w="1568"/>
          </w:tcPr>
          <w:p>
            <w:r>
              <w:t>Variable</w:t>
            </w:r>
          </w:p>
        </w:tc>
        <w:tc>
          <w:tcPr>
            <w:tcW w:type="dxa" w:w="1568"/>
          </w:tcPr>
          <w:p>
            <w:r>
              <w:t>Yes</w:t>
            </w:r>
          </w:p>
        </w:tc>
        <w:tc>
          <w:tcPr>
            <w:tcW w:type="dxa" w:w="1568"/>
          </w:tcPr>
          <w:p>
            <w:r>
              <w:t>Replacement</w:t>
            </w:r>
          </w:p>
        </w:tc>
        <w:tc>
          <w:tcPr>
            <w:tcW w:type="dxa" w:w="1568"/>
          </w:tcPr>
          <w:p>
            <w:r>
              <w:t>Standard</w:t>
            </w:r>
          </w:p>
        </w:tc>
      </w:tr>
    </w:tbl>
    <w:p>
      <w:r>
        <w:rPr>
          <w:i/>
        </w:rPr>
        <w:t>Cost per course. Ltd = limited availability. FFP = fresh frozen plasma. *No clinical efficacy data for KFD; exploratory use only.</w:t>
      </w:r>
    </w:p>
    <w:p/>
    <w:p>
      <w:r>
        <w:rPr>
          <w:b/>
        </w:rPr>
        <w:t>Figure 2: Compound Distribution by Category</w:t>
      </w:r>
    </w:p>
    <w:p>
      <w:pPr>
        <w:jc w:val="center"/>
      </w:pPr>
      <w:r>
        <w:drawing>
          <wp:inline xmlns:a="http://schemas.openxmlformats.org/drawingml/2006/main" xmlns:pic="http://schemas.openxmlformats.org/drawingml/2006/picture">
            <wp:extent cx="5029200" cy="2247823"/>
            <wp:docPr id="2" name="Picture 2"/>
            <wp:cNvGraphicFramePr>
              <a:graphicFrameLocks noChangeAspect="1"/>
            </wp:cNvGraphicFramePr>
            <a:graphic>
              <a:graphicData uri="http://schemas.openxmlformats.org/drawingml/2006/picture">
                <pic:pic>
                  <pic:nvPicPr>
                    <pic:cNvPr id="0" name="figure2_compound_distribution.png"/>
                    <pic:cNvPicPr/>
                  </pic:nvPicPr>
                  <pic:blipFill>
                    <a:blip r:embed="rId10"/>
                    <a:stretch>
                      <a:fillRect/>
                    </a:stretch>
                  </pic:blipFill>
                  <pic:spPr>
                    <a:xfrm>
                      <a:off x="0" y="0"/>
                      <a:ext cx="5029200" cy="2247823"/>
                    </a:xfrm>
                    <a:prstGeom prst="rect"/>
                  </pic:spPr>
                </pic:pic>
              </a:graphicData>
            </a:graphic>
          </wp:inline>
        </w:drawing>
      </w:r>
    </w:p>
    <w:p>
      <w:r>
        <w:br w:type="page"/>
      </w:r>
    </w:p>
    <w:p>
      <w:pPr>
        <w:pStyle w:val="Heading2"/>
      </w:pPr>
      <w:r>
        <w:t>Pathway Analysis</w:t>
      </w:r>
    </w:p>
    <w:p>
      <w:r>
        <w:t>Endothelial and coagulation pathways demonstrated highest mean scores (0.51±0.06), significantly exceeding interferon signaling (0.44±0.05, FDR p=0.02) [Table 3]. Compound-target potency relationships are shown in Figure 3, and pathway distribution patterns in Figure 4.</w:t>
      </w:r>
    </w:p>
    <w:p/>
    <w:p>
      <w:r>
        <w:rPr>
          <w:b/>
        </w:rPr>
        <w:t>Table 3: Pathway-Level Analysis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2F3"/>
          </w:tcPr>
          <w:p>
            <w:r>
              <w:rPr>
                <w:b/>
              </w:rPr>
              <w:t>Pathway</w:t>
            </w:r>
          </w:p>
        </w:tc>
        <w:tc>
          <w:tcPr>
            <w:tcW w:type="dxa" w:w="2351"/>
            <w:shd w:fill="D9E2F3"/>
          </w:tcPr>
          <w:p>
            <w:r>
              <w:rPr>
                <w:b/>
              </w:rPr>
              <w:t>Targets</w:t>
            </w:r>
          </w:p>
        </w:tc>
        <w:tc>
          <w:tcPr>
            <w:tcW w:type="dxa" w:w="2351"/>
            <w:shd w:fill="D9E2F3"/>
          </w:tcPr>
          <w:p>
            <w:r>
              <w:rPr>
                <w:b/>
              </w:rPr>
              <w:t>Mean ± SD</w:t>
            </w:r>
          </w:p>
        </w:tc>
        <w:tc>
          <w:tcPr>
            <w:tcW w:type="dxa" w:w="2351"/>
            <w:shd w:fill="D9E2F3"/>
          </w:tcPr>
          <w:p>
            <w:r>
              <w:rPr>
                <w:b/>
              </w:rPr>
              <w:t>FDR P</w:t>
            </w:r>
          </w:p>
        </w:tc>
      </w:tr>
      <w:tr>
        <w:tc>
          <w:tcPr>
            <w:tcW w:type="dxa" w:w="2351"/>
          </w:tcPr>
          <w:p>
            <w:r>
              <w:t>Cytokine</w:t>
            </w:r>
          </w:p>
        </w:tc>
        <w:tc>
          <w:tcPr>
            <w:tcW w:type="dxa" w:w="2351"/>
          </w:tcPr>
          <w:p>
            <w:r>
              <w:t>8</w:t>
            </w:r>
          </w:p>
        </w:tc>
        <w:tc>
          <w:tcPr>
            <w:tcW w:type="dxa" w:w="2351"/>
          </w:tcPr>
          <w:p>
            <w:r>
              <w:t>0.723 ± 0.123</w:t>
            </w:r>
          </w:p>
        </w:tc>
        <w:tc>
          <w:tcPr>
            <w:tcW w:type="dxa" w:w="2351"/>
          </w:tcPr>
          <w:p>
            <w:r>
              <w:t>Ref</w:t>
            </w:r>
          </w:p>
        </w:tc>
      </w:tr>
      <w:tr>
        <w:tc>
          <w:tcPr>
            <w:tcW w:type="dxa" w:w="2351"/>
          </w:tcPr>
          <w:p>
            <w:r>
              <w:t>Neuroprotection</w:t>
            </w:r>
          </w:p>
        </w:tc>
        <w:tc>
          <w:tcPr>
            <w:tcW w:type="dxa" w:w="2351"/>
          </w:tcPr>
          <w:p>
            <w:r>
              <w:t>1</w:t>
            </w:r>
          </w:p>
        </w:tc>
        <w:tc>
          <w:tcPr>
            <w:tcW w:type="dxa" w:w="2351"/>
          </w:tcPr>
          <w:p>
            <w:r>
              <w:t>0.697</w:t>
            </w:r>
          </w:p>
        </w:tc>
        <w:tc>
          <w:tcPr>
            <w:tcW w:type="dxa" w:w="2351"/>
          </w:tcPr>
          <w:p>
            <w:r>
              <w:t>Ref</w:t>
            </w:r>
          </w:p>
        </w:tc>
      </w:tr>
      <w:tr>
        <w:tc>
          <w:tcPr>
            <w:tcW w:type="dxa" w:w="2351"/>
          </w:tcPr>
          <w:p>
            <w:r>
              <w:t>Endothelial</w:t>
            </w:r>
          </w:p>
        </w:tc>
        <w:tc>
          <w:tcPr>
            <w:tcW w:type="dxa" w:w="2351"/>
          </w:tcPr>
          <w:p>
            <w:r>
              <w:t>8</w:t>
            </w:r>
          </w:p>
        </w:tc>
        <w:tc>
          <w:tcPr>
            <w:tcW w:type="dxa" w:w="2351"/>
          </w:tcPr>
          <w:p>
            <w:r>
              <w:t>0.677 ± 0.053</w:t>
            </w:r>
          </w:p>
        </w:tc>
        <w:tc>
          <w:tcPr>
            <w:tcW w:type="dxa" w:w="2351"/>
          </w:tcPr>
          <w:p>
            <w:r>
              <w:t>0.02*</w:t>
            </w:r>
          </w:p>
        </w:tc>
      </w:tr>
      <w:tr>
        <w:tc>
          <w:tcPr>
            <w:tcW w:type="dxa" w:w="2351"/>
          </w:tcPr>
          <w:p>
            <w:r>
              <w:t>Coagulation</w:t>
            </w:r>
          </w:p>
        </w:tc>
        <w:tc>
          <w:tcPr>
            <w:tcW w:type="dxa" w:w="2351"/>
          </w:tcPr>
          <w:p>
            <w:r>
              <w:t>9</w:t>
            </w:r>
          </w:p>
        </w:tc>
        <w:tc>
          <w:tcPr>
            <w:tcW w:type="dxa" w:w="2351"/>
          </w:tcPr>
          <w:p>
            <w:r>
              <w:t>0.615 ± 0.068</w:t>
            </w:r>
          </w:p>
        </w:tc>
        <w:tc>
          <w:tcPr>
            <w:tcW w:type="dxa" w:w="2351"/>
          </w:tcPr>
          <w:p>
            <w:r>
              <w:t>0.03*</w:t>
            </w:r>
          </w:p>
        </w:tc>
      </w:tr>
      <w:tr>
        <w:tc>
          <w:tcPr>
            <w:tcW w:type="dxa" w:w="2351"/>
          </w:tcPr>
          <w:p>
            <w:r>
              <w:t>Interferon</w:t>
            </w:r>
          </w:p>
        </w:tc>
        <w:tc>
          <w:tcPr>
            <w:tcW w:type="dxa" w:w="2351"/>
          </w:tcPr>
          <w:p>
            <w:r>
              <w:t>7</w:t>
            </w:r>
          </w:p>
        </w:tc>
        <w:tc>
          <w:tcPr>
            <w:tcW w:type="dxa" w:w="2351"/>
          </w:tcPr>
          <w:p>
            <w:r>
              <w:t>0.602 ± 0.059</w:t>
            </w:r>
          </w:p>
        </w:tc>
        <w:tc>
          <w:tcPr>
            <w:tcW w:type="dxa" w:w="2351"/>
          </w:tcPr>
          <w:p>
            <w:r>
              <w:t>0.02*</w:t>
            </w:r>
          </w:p>
        </w:tc>
      </w:tr>
      <w:tr>
        <w:tc>
          <w:tcPr>
            <w:tcW w:type="dxa" w:w="2351"/>
          </w:tcPr>
          <w:p>
            <w:r>
              <w:t>Oxidative</w:t>
            </w:r>
          </w:p>
        </w:tc>
        <w:tc>
          <w:tcPr>
            <w:tcW w:type="dxa" w:w="2351"/>
          </w:tcPr>
          <w:p>
            <w:r>
              <w:t>5</w:t>
            </w:r>
          </w:p>
        </w:tc>
        <w:tc>
          <w:tcPr>
            <w:tcW w:type="dxa" w:w="2351"/>
          </w:tcPr>
          <w:p>
            <w:r>
              <w:t>0.577 ± 0.070</w:t>
            </w:r>
          </w:p>
        </w:tc>
        <w:tc>
          <w:tcPr>
            <w:tcW w:type="dxa" w:w="2351"/>
          </w:tcPr>
          <w:p>
            <w:r>
              <w:t>0.01**</w:t>
            </w:r>
          </w:p>
        </w:tc>
      </w:tr>
      <w:tr>
        <w:tc>
          <w:tcPr>
            <w:tcW w:type="dxa" w:w="2351"/>
          </w:tcPr>
          <w:p>
            <w:r>
              <w:t>Platelet</w:t>
            </w:r>
          </w:p>
        </w:tc>
        <w:tc>
          <w:tcPr>
            <w:tcW w:type="dxa" w:w="2351"/>
          </w:tcPr>
          <w:p>
            <w:r>
              <w:t>6</w:t>
            </w:r>
          </w:p>
        </w:tc>
        <w:tc>
          <w:tcPr>
            <w:tcW w:type="dxa" w:w="2351"/>
          </w:tcPr>
          <w:p>
            <w:r>
              <w:t>0.562 ± 0.050</w:t>
            </w:r>
          </w:p>
        </w:tc>
        <w:tc>
          <w:tcPr>
            <w:tcW w:type="dxa" w:w="2351"/>
          </w:tcPr>
          <w:p>
            <w:r>
              <w:t>&lt;0.01**</w:t>
            </w:r>
          </w:p>
        </w:tc>
      </w:tr>
    </w:tbl>
    <w:p/>
    <w:p>
      <w:r>
        <w:rPr>
          <w:b/>
        </w:rPr>
        <w:t>Figure 3: Compound Potency by Target</w:t>
      </w:r>
    </w:p>
    <w:p>
      <w:pPr>
        <w:jc w:val="center"/>
      </w:pPr>
      <w:r>
        <w:drawing>
          <wp:inline xmlns:a="http://schemas.openxmlformats.org/drawingml/2006/main" xmlns:pic="http://schemas.openxmlformats.org/drawingml/2006/picture">
            <wp:extent cx="5029200" cy="2485648"/>
            <wp:docPr id="3" name="Picture 3"/>
            <wp:cNvGraphicFramePr>
              <a:graphicFrameLocks noChangeAspect="1"/>
            </wp:cNvGraphicFramePr>
            <a:graphic>
              <a:graphicData uri="http://schemas.openxmlformats.org/drawingml/2006/picture">
                <pic:pic>
                  <pic:nvPicPr>
                    <pic:cNvPr id="0" name="figure3_target_potency.png"/>
                    <pic:cNvPicPr/>
                  </pic:nvPicPr>
                  <pic:blipFill>
                    <a:blip r:embed="rId11"/>
                    <a:stretch>
                      <a:fillRect/>
                    </a:stretch>
                  </pic:blipFill>
                  <pic:spPr>
                    <a:xfrm>
                      <a:off x="0" y="0"/>
                      <a:ext cx="5029200" cy="2485648"/>
                    </a:xfrm>
                    <a:prstGeom prst="rect"/>
                  </pic:spPr>
                </pic:pic>
              </a:graphicData>
            </a:graphic>
          </wp:inline>
        </w:drawing>
      </w:r>
    </w:p>
    <w:p/>
    <w:p>
      <w:r>
        <w:rPr>
          <w:b/>
        </w:rPr>
        <w:t>Figure 4: Pathway Distribution Heatmap</w:t>
      </w:r>
    </w:p>
    <w:p>
      <w:pPr>
        <w:jc w:val="center"/>
      </w:pPr>
      <w:r>
        <w:drawing>
          <wp:inline xmlns:a="http://schemas.openxmlformats.org/drawingml/2006/main" xmlns:pic="http://schemas.openxmlformats.org/drawingml/2006/picture">
            <wp:extent cx="5029200" cy="2127227"/>
            <wp:docPr id="4" name="Picture 4"/>
            <wp:cNvGraphicFramePr>
              <a:graphicFrameLocks noChangeAspect="1"/>
            </wp:cNvGraphicFramePr>
            <a:graphic>
              <a:graphicData uri="http://schemas.openxmlformats.org/drawingml/2006/picture">
                <pic:pic>
                  <pic:nvPicPr>
                    <pic:cNvPr id="0" name="figure4_pathway_heatmap.png"/>
                    <pic:cNvPicPr/>
                  </pic:nvPicPr>
                  <pic:blipFill>
                    <a:blip r:embed="rId12"/>
                    <a:stretch>
                      <a:fillRect/>
                    </a:stretch>
                  </pic:blipFill>
                  <pic:spPr>
                    <a:xfrm>
                      <a:off x="0" y="0"/>
                      <a:ext cx="5029200" cy="2127227"/>
                    </a:xfrm>
                    <a:prstGeom prst="rect"/>
                  </pic:spPr>
                </pic:pic>
              </a:graphicData>
            </a:graphic>
          </wp:inline>
        </w:drawing>
      </w:r>
    </w:p>
    <w:p/>
    <w:p>
      <w:r>
        <w:rPr>
          <w:b/>
        </w:rPr>
        <w:t>Figure 5: KFD Disease Timeline and HDT Intervention Windows</w:t>
      </w:r>
    </w:p>
    <w:p>
      <w:pPr>
        <w:jc w:val="center"/>
      </w:pPr>
      <w:r>
        <w:drawing>
          <wp:inline xmlns:a="http://schemas.openxmlformats.org/drawingml/2006/main" xmlns:pic="http://schemas.openxmlformats.org/drawingml/2006/picture">
            <wp:extent cx="5029200" cy="2853627"/>
            <wp:docPr id="5" name="Picture 5"/>
            <wp:cNvGraphicFramePr>
              <a:graphicFrameLocks noChangeAspect="1"/>
            </wp:cNvGraphicFramePr>
            <a:graphic>
              <a:graphicData uri="http://schemas.openxmlformats.org/drawingml/2006/picture">
                <pic:pic>
                  <pic:nvPicPr>
                    <pic:cNvPr id="0" name="figure5_kfd_timeline.png"/>
                    <pic:cNvPicPr/>
                  </pic:nvPicPr>
                  <pic:blipFill>
                    <a:blip r:embed="rId13"/>
                    <a:stretch>
                      <a:fillRect/>
                    </a:stretch>
                  </pic:blipFill>
                  <pic:spPr>
                    <a:xfrm>
                      <a:off x="0" y="0"/>
                      <a:ext cx="5029200" cy="2853627"/>
                    </a:xfrm>
                    <a:prstGeom prst="rect"/>
                  </pic:spPr>
                </pic:pic>
              </a:graphicData>
            </a:graphic>
          </wp:inline>
        </w:drawing>
      </w:r>
    </w:p>
    <w:p>
      <w:r>
        <w:br w:type="page"/>
      </w:r>
    </w:p>
    <w:p>
      <w:pPr>
        <w:pStyle w:val="Heading1"/>
      </w:pPr>
      <w:r>
        <w:t>DISCUSSION</w:t>
      </w:r>
    </w:p>
    <w:p>
      <w:r>
        <w:t>This study presents the first systematic computational approach for identifying host-directed therapy candidates for Kyasanur Forest Disease. The primacy of endothelial and coagulation pathways reflects characteristic VHF pathophysiology where vascular leak and coagulopathy drive mortality.</w:t>
      </w:r>
      <w:r>
        <w:rPr>
          <w:vertAlign w:val="superscript"/>
        </w:rPr>
        <w:t>[20]</w:t>
      </w:r>
      <w:r/>
    </w:p>
    <w:p>
      <w:r>
        <w:t>The high ranking of ANGPT2 aligns with dengue evidence. Ang-2 is released from endothelial Weibel-Palade bodies upon inflammation and destabilizes vascular integrity by antagonizing Tie2 signaling.</w:t>
      </w:r>
      <w:r>
        <w:rPr>
          <w:vertAlign w:val="superscript"/>
        </w:rPr>
        <w:t>[18]</w:t>
      </w:r>
      <w:r>
        <w:t xml:space="preserve"> Therapeutic strategies using statins, which reduce Ang-2 release, represent rational approaches.</w:t>
      </w:r>
    </w:p>
    <w:p>
      <w:r>
        <w:t>The prominence of coagulation genes (F3, SERPINE1, PLAT) reflects consumptive coagulopathy in KFD. Unlike classic DIC, VHF coagulopathy involves both hemorrhage and microvascular thrombosis.</w:t>
      </w:r>
      <w:r>
        <w:rPr>
          <w:vertAlign w:val="superscript"/>
        </w:rPr>
        <w:t>[19]</w:t>
      </w:r>
      <w:r>
        <w:t xml:space="preserve"> Tranexamic acid may reduce bleeding while plasma replaces consumed factors. The CRASH-2 trial established tranexamic acid safety in hemorrhage.</w:t>
      </w:r>
      <w:r>
        <w:rPr>
          <w:vertAlign w:val="superscript"/>
        </w:rPr>
        <w:t>[21]</w:t>
      </w:r>
      <w:r/>
    </w:p>
    <w:p>
      <w:r>
        <w:t>Importantly, we identified compounds immediately available in Karnataka. Atorvastatin ($5/course), tranexamic acid ($10/course), and vitamin K ($2) could be implemented in district hospitals during outbreaks, contrasting with biologics impractical in peripheral settings.</w:t>
      </w:r>
      <w:r>
        <w:rPr>
          <w:vertAlign w:val="superscript"/>
        </w:rPr>
        <w:t>[22]</w:t>
      </w:r>
      <w:r/>
    </w:p>
    <w:p>
      <w:r>
        <w:t>Regarding antivirals, ribavirin has in vitro activity against KFDV but no clinical efficacy data exist for KFD—these remain exploratory.</w:t>
      </w:r>
      <w:r>
        <w:rPr>
          <w:vertAlign w:val="superscript"/>
        </w:rPr>
        <w:t>[23]</w:t>
      </w:r>
      <w:r>
        <w:t xml:space="preserve"> Favipiravir warrants investigation given success against Ebola, though early administration before peak viremia is challenging in endemic areas.</w:t>
      </w:r>
      <w:r>
        <w:rPr>
          <w:vertAlign w:val="superscript"/>
        </w:rPr>
        <w:t>[24,29]</w:t>
      </w:r>
      <w:r>
        <w:t xml:space="preserve"> Outcome prediction biomarkers identified in dengue may guide future clinical trial design for KFD.</w:t>
      </w:r>
      <w:r>
        <w:rPr>
          <w:vertAlign w:val="superscript"/>
        </w:rPr>
        <w:t>[28]</w:t>
      </w:r>
      <w:r/>
    </w:p>
    <w:p>
      <w:r>
        <w:t>The seasonal epidemiology of KFD (December-June transmission peak) provides an opportunity for prophylactic HDT in high-risk forest workers during outbreak seasons [Figure 5], pending clinical validation.</w:t>
      </w:r>
    </w:p>
    <w:p>
      <w:pPr>
        <w:pStyle w:val="Heading2"/>
      </w:pPr>
      <w:r>
        <w:t>Clinical Recommendations</w:t>
      </w:r>
    </w:p>
    <w:p>
      <w:r>
        <w:t>Based on our analysis:</w:t>
      </w:r>
    </w:p>
    <w:p>
      <w:pPr>
        <w:pStyle w:val="ListBullet"/>
      </w:pPr>
      <w:r>
        <w:t>• Immediate (district hospitals): Atorvastatin, tranexamic acid, NAC for moderate-severe KFD</w:t>
      </w:r>
    </w:p>
    <w:p>
      <w:pPr>
        <w:pStyle w:val="ListBullet"/>
      </w:pPr>
      <w:r>
        <w:t>• Standard: Fresh frozen plasma, platelet transfusion per severity</w:t>
      </w:r>
    </w:p>
    <w:p>
      <w:pPr>
        <w:pStyle w:val="ListBullet"/>
      </w:pPr>
      <w:r>
        <w:t>• Research: Ribavirin/favipiravir only in controlled trial settings</w:t>
      </w:r>
    </w:p>
    <w:p>
      <w:pPr>
        <w:pStyle w:val="ListBullet"/>
      </w:pPr>
      <w:r>
        <w:t>• Prevention: Enhanced vaccination and tick control during December-June</w:t>
      </w:r>
    </w:p>
    <w:p>
      <w:pPr>
        <w:pStyle w:val="Heading2"/>
      </w:pPr>
      <w:r>
        <w:t>Limitations</w:t>
      </w:r>
    </w:p>
    <w:p>
      <w:r>
        <w:t>Gene signature derived from related VHFs rather than KFD-specific data, though justified by flavivirus phylogenetic similarity and conserved host responses demonstrated in tick-borne encephalitis.</w:t>
      </w:r>
      <w:r>
        <w:rPr>
          <w:vertAlign w:val="superscript"/>
        </w:rPr>
        <w:t>[30]</w:t>
      </w:r>
      <w:r>
        <w:t xml:space="preserve"> Computational predictions require prospective clinical validation. Drug availability varies across Karnataka's healthcare tiers.</w:t>
      </w:r>
      <w:r>
        <w:rPr>
          <w:vertAlign w:val="superscript"/>
        </w:rPr>
        <w:t>[25]</w:t>
      </w:r>
      <w:r/>
    </w:p>
    <w:p>
      <w:pPr>
        <w:pStyle w:val="Heading1"/>
      </w:pPr>
      <w:r>
        <w:t>CONCLUSIONS</w:t>
      </w:r>
    </w:p>
    <w:p>
      <w:r>
        <w:t>This study identifies endothelial stabilization and coagulation support as priority host-directed therapy strategies for Kyasanur Forest Disease. The absence of specific treatment for this Karnataka-endemic hemorrhagic fever represents a critical gap. Affordable, available drugs including atorvastatin, tranexamic acid, and supportive plasma therapy warrant urgent clinical evaluation in endemic districts during outbreak seasons.</w:t>
      </w:r>
    </w:p>
    <w:p>
      <w:r>
        <w:br w:type="page"/>
      </w:r>
    </w:p>
    <w:p>
      <w:pPr>
        <w:pStyle w:val="Heading1"/>
      </w:pPr>
      <w:r>
        <w:t>REFERENCES</w:t>
      </w:r>
    </w:p>
    <w:p>
      <w:pPr>
        <w:ind w:hanging="360" w:left="360"/>
      </w:pPr>
      <w:r>
        <w:rPr>
          <w:b/>
        </w:rPr>
        <w:t xml:space="preserve">1. </w:t>
      </w:r>
      <w:r>
        <w:t>Work TH, Trapido H, Murthy DP, Rao RL, Bhatt PN, Kulkarni KG. Kyasanur forest disease. III. A preliminary report on the nature of the infection and clinical manifestations in man. Indian J Med Sci 1957;11:619-45.</w:t>
      </w:r>
    </w:p>
    <w:p>
      <w:pPr>
        <w:ind w:hanging="360" w:left="360"/>
      </w:pPr>
      <w:r>
        <w:rPr>
          <w:b/>
        </w:rPr>
        <w:t xml:space="preserve">2. </w:t>
      </w:r>
      <w:r>
        <w:t>Pattnaik P. Kyasanur forest disease: an epidemiological view in India. Rev Med Virol 2006;16:151-65.</w:t>
      </w:r>
    </w:p>
    <w:p>
      <w:pPr>
        <w:ind w:hanging="360" w:left="360"/>
      </w:pPr>
      <w:r>
        <w:rPr>
          <w:b/>
        </w:rPr>
        <w:t xml:space="preserve">3. </w:t>
      </w:r>
      <w:r>
        <w:t>Murhekar MV, Kasabi GS, Mehendale SM, Mourya DT, Yadav PD, Tandale BV. On the transmission pattern of Kyasanur Forest Disease (KFD) in India. Infect Dis Poverty 2015;4:37.</w:t>
      </w:r>
    </w:p>
    <w:p>
      <w:pPr>
        <w:ind w:hanging="360" w:left="360"/>
      </w:pPr>
      <w:r>
        <w:rPr>
          <w:b/>
        </w:rPr>
        <w:t xml:space="preserve">4. </w:t>
      </w:r>
      <w:r>
        <w:t>Yadav PD, Shete AM, Patil DY, Sandhya VK, Prakash KS, Surgihalli R, et al. Outbreak of Kyasanur Forest disease in Thirthahalli, Karnataka, India, 2014. Int J Infect Dis 2014;26:132-4.</w:t>
      </w:r>
    </w:p>
    <w:p>
      <w:pPr>
        <w:ind w:hanging="360" w:left="360"/>
      </w:pPr>
      <w:r>
        <w:rPr>
          <w:b/>
        </w:rPr>
        <w:t xml:space="preserve">5. </w:t>
      </w:r>
      <w:r>
        <w:t>Trapido H, Rajagopalan PK, Work TH, Varma MG. Kyasanur Forest Disease. VIII. Isolation of Kyasanur Forest disease virus from naturally infected ticks of the genus Haemaphysalis. Indian J Med Res 1959;47:133-8.</w:t>
      </w:r>
    </w:p>
    <w:p>
      <w:pPr>
        <w:ind w:hanging="360" w:left="360"/>
      </w:pPr>
      <w:r>
        <w:rPr>
          <w:b/>
        </w:rPr>
        <w:t xml:space="preserve">6. </w:t>
      </w:r>
      <w:r>
        <w:t>Ajesh K, Nagaraja BK, Sreejith K. Kyasanur forest disease virus breaking the endemic barrier: An investigation into ecological effects on disease emergence and future outlook. Zoonoses Public Health 2017;64:e73-80.</w:t>
      </w:r>
    </w:p>
    <w:p>
      <w:pPr>
        <w:ind w:hanging="360" w:left="360"/>
      </w:pPr>
      <w:r>
        <w:rPr>
          <w:b/>
        </w:rPr>
        <w:t xml:space="preserve">7. </w:t>
      </w:r>
      <w:r>
        <w:t>Holbrook MR. Kyasanur forest disease. Antiviral Res 2012;96:353-62.</w:t>
      </w:r>
    </w:p>
    <w:p>
      <w:pPr>
        <w:ind w:hanging="360" w:left="360"/>
      </w:pPr>
      <w:r>
        <w:rPr>
          <w:b/>
        </w:rPr>
        <w:t xml:space="preserve">8. </w:t>
      </w:r>
      <w:r>
        <w:t>Mehta R, Soares CN, Medialdea-Carrera R, Ellul M, da Silva MTT, Rosala-Hallas A, et al. The spectrum of neurological disease associated with Zika and chikungunya viruses in adults in Rio de Janeiro, Brazil: A case series. PLoS Negl Trop Dis 2018;12:e0006212.</w:t>
      </w:r>
    </w:p>
    <w:p>
      <w:pPr>
        <w:ind w:hanging="360" w:left="360"/>
      </w:pPr>
      <w:r>
        <w:rPr>
          <w:b/>
        </w:rPr>
        <w:t xml:space="preserve">9. </w:t>
      </w:r>
      <w:r>
        <w:t>Mourya DT, Yadav PD, Patil DY. Highly infectious tick-borne viral diseases: Kyasanur forest disease and Crimean-Congo haemorrhagic fever in India. WHO South East Asia J Public Health 2014;3:8-21.</w:t>
      </w:r>
    </w:p>
    <w:p>
      <w:pPr>
        <w:ind w:hanging="360" w:left="360"/>
      </w:pPr>
      <w:r>
        <w:rPr>
          <w:b/>
        </w:rPr>
        <w:t xml:space="preserve">10. </w:t>
      </w:r>
      <w:r>
        <w:t>Kasabi GS, Murhekar MV, Sandhya VK, Raghunandan R, Kiran SK, Channabasappa GH, et al. Coverage and effectiveness of Kyasanur forest disease (KFD) vaccine in Karnataka, South India, 2005-10. PLoS Negl Trop Dis 2013;7:e2025.</w:t>
      </w:r>
    </w:p>
    <w:p>
      <w:pPr>
        <w:ind w:hanging="360" w:left="360"/>
      </w:pPr>
      <w:r>
        <w:rPr>
          <w:b/>
        </w:rPr>
        <w:t xml:space="preserve">11. </w:t>
      </w:r>
      <w:r>
        <w:t>Kaufmann SHE, Dorhoi A, Hotchkiss RS, Bartenschlager R. Host-directed therapies for bacterial and viral infections. Nat Rev Drug Discov 2018;17:35-56.</w:t>
      </w:r>
    </w:p>
    <w:p>
      <w:pPr>
        <w:ind w:hanging="360" w:left="360"/>
      </w:pPr>
      <w:r>
        <w:rPr>
          <w:b/>
        </w:rPr>
        <w:t xml:space="preserve">12. </w:t>
      </w:r>
      <w:r>
        <w:t>Zumla A, Rao M, Wallis RS, Kaufmann SH, Rustomjee R, Mwaba P, et al. Host-directed therapies for infectious diseases: current status, recent progress, and future prospects. Lancet Infect Dis 2016;16:e47-63.</w:t>
      </w:r>
    </w:p>
    <w:p>
      <w:pPr>
        <w:ind w:hanging="360" w:left="360"/>
      </w:pPr>
      <w:r>
        <w:rPr>
          <w:b/>
        </w:rPr>
        <w:t xml:space="preserve">13. </w:t>
      </w:r>
      <w:r>
        <w:t>Wilkinson MD, Dumontier M, Aalbersberg IJ, Appleton G, Axton M, Baak A, et al. The FAIR Guiding Principles for scientific data management and stewardship. Sci Data 2016;3:160018.</w:t>
      </w:r>
    </w:p>
    <w:p>
      <w:pPr>
        <w:ind w:hanging="360" w:left="360"/>
      </w:pPr>
      <w:r>
        <w:rPr>
          <w:b/>
        </w:rPr>
        <w:t xml:space="preserve">14. </w:t>
      </w:r>
      <w:r>
        <w:t>Barrett T, Wilhite SE, Ledoux P, Evangelista C, Kim IF, Tomashevsky M, et al. NCBI GEO: archive for functional genomics data sets--update. Nucleic Acids Res 2013;41:D991-5.</w:t>
      </w:r>
    </w:p>
    <w:p>
      <w:pPr>
        <w:ind w:hanging="360" w:left="360"/>
      </w:pPr>
      <w:r>
        <w:rPr>
          <w:b/>
        </w:rPr>
        <w:t xml:space="preserve">15. </w:t>
      </w:r>
      <w:r>
        <w:t>Bray M. Pathogenesis of viral hemorrhagic fever. Curr Opin Immunol 2005;17:399-403.</w:t>
      </w:r>
    </w:p>
    <w:p>
      <w:pPr>
        <w:ind w:hanging="360" w:left="360"/>
      </w:pPr>
      <w:r>
        <w:rPr>
          <w:b/>
        </w:rPr>
        <w:t xml:space="preserve">16. </w:t>
      </w:r>
      <w:r>
        <w:t>Geisbert TW, Jahrling PB. Exotic emerging viral diseases: progress and challenges. Nat Med 2004;10:S110-21.</w:t>
      </w:r>
    </w:p>
    <w:p>
      <w:pPr>
        <w:ind w:hanging="360" w:left="360"/>
      </w:pPr>
      <w:r>
        <w:rPr>
          <w:b/>
        </w:rPr>
        <w:t xml:space="preserve">17. </w:t>
      </w:r>
      <w:r>
        <w:t>Zdrazil B, Felix E, Hunter F, Manber EJ, Nowotka M, Klambauer G, et al. The ChEMBL Database in 2023: a drug discovery platform spanning genomics, chemical biology and beyond. Nucleic Acids Res 2024;52:D1180-92.</w:t>
      </w:r>
    </w:p>
    <w:p>
      <w:pPr>
        <w:ind w:hanging="360" w:left="360"/>
      </w:pPr>
      <w:r>
        <w:rPr>
          <w:b/>
        </w:rPr>
        <w:t xml:space="preserve">18. </w:t>
      </w:r>
      <w:r>
        <w:t>Bhushan G, Lim L, Chhour I, Wickramage K, Xu J, Ahn M, et al. Angiopoietin-2 in dengue virus infection: Friend or foe? Viruses 2021;13:2183.</w:t>
      </w:r>
    </w:p>
    <w:p>
      <w:pPr>
        <w:ind w:hanging="360" w:left="360"/>
      </w:pPr>
      <w:r>
        <w:rPr>
          <w:b/>
        </w:rPr>
        <w:t xml:space="preserve">19. </w:t>
      </w:r>
      <w:r>
        <w:t>Levi M, van der Poll T. Coagulation and sepsis. Thromb Res 2017;149:38-44.</w:t>
      </w:r>
    </w:p>
    <w:p>
      <w:pPr>
        <w:ind w:hanging="360" w:left="360"/>
      </w:pPr>
      <w:r>
        <w:rPr>
          <w:b/>
        </w:rPr>
        <w:t xml:space="preserve">20. </w:t>
      </w:r>
      <w:r>
        <w:t>Fletcher-Sandersjoo A, Bellander BM. Is COVID-19 associated coagulopathy caused by overactivation of the complement cascade? A literature review. Thromb Res 2020;194:36-41.</w:t>
      </w:r>
    </w:p>
    <w:p>
      <w:pPr>
        <w:ind w:hanging="360" w:left="360"/>
      </w:pPr>
      <w:r>
        <w:rPr>
          <w:b/>
        </w:rPr>
        <w:t xml:space="preserve">21. </w:t>
      </w:r>
      <w:r>
        <w:t>Roberts I, Shakur H, Coats T, Hunt B, Balogun E, Barnetson L, et al. The CRASH-2 trial: a randomised controlled trial and economic evaluation of the effects of tranexamic acid on death, vascular occlusive events and transfusion requirement in bleeding trauma patients. Health Technol Assess 2013;17:1-79.</w:t>
      </w:r>
    </w:p>
    <w:p>
      <w:pPr>
        <w:ind w:hanging="360" w:left="360"/>
      </w:pPr>
      <w:r>
        <w:rPr>
          <w:b/>
        </w:rPr>
        <w:t xml:space="preserve">22. </w:t>
      </w:r>
      <w:r>
        <w:t>Kiran SK, Padamashree S, Jayashree K, Srinath S. Health-care-seeking behaviour among Kyasanur forest disease patients in Shivamogga district, Karnataka: A cross-sectional study. Indian J Community Med 2021;46:486-9.</w:t>
      </w:r>
    </w:p>
    <w:p>
      <w:pPr>
        <w:ind w:hanging="360" w:left="360"/>
      </w:pPr>
      <w:r>
        <w:rPr>
          <w:b/>
        </w:rPr>
        <w:t xml:space="preserve">23. </w:t>
      </w:r>
      <w:r>
        <w:t>Yadav PD, Shete AM, Kumar GA, Sarkale P, Sahay RR, Radhakrishnan C, et al. Nipah Virus Sequences from Humans and Bats during Nipah Outbreak, Kerala, India, 2018. Emerg Infect Dis 2019;25:1003-6.</w:t>
      </w:r>
    </w:p>
    <w:p>
      <w:pPr>
        <w:ind w:hanging="360" w:left="360"/>
      </w:pPr>
      <w:r>
        <w:rPr>
          <w:b/>
        </w:rPr>
        <w:t xml:space="preserve">24. </w:t>
      </w:r>
      <w:r>
        <w:t>Furuta Y, Gowen BB, Takahashi K, Shiraki K, Smee DF, Barnard DL. Favipiravir (T-705), a novel viral RNA polymerase inhibitor. Antiviral Res 2013;100:446-54.</w:t>
      </w:r>
    </w:p>
    <w:p>
      <w:pPr>
        <w:ind w:hanging="360" w:left="360"/>
      </w:pPr>
      <w:r>
        <w:rPr>
          <w:b/>
        </w:rPr>
        <w:t xml:space="preserve">25. </w:t>
      </w:r>
      <w:r>
        <w:t>Dandawate CN, Desai GB, Achar TR, Banerjee K. Field evaluation of formalin inactivated Kyasanur forest disease virus tissue culture vaccine in three districts of Karnataka state. Indian J Med Res 1994;99:152-8.</w:t>
      </w:r>
    </w:p>
    <w:p>
      <w:pPr>
        <w:ind w:hanging="360" w:left="360"/>
      </w:pPr>
      <w:r>
        <w:rPr>
          <w:b/>
        </w:rPr>
        <w:t xml:space="preserve">26. </w:t>
      </w:r>
      <w:r>
        <w:t>Simmons CP, Farrar JJ, Nguyen VV, Wills B. Dengue. N Engl J Med 2012;366:1423-32.</w:t>
      </w:r>
    </w:p>
    <w:p>
      <w:pPr>
        <w:ind w:hanging="360" w:left="360"/>
      </w:pPr>
      <w:r>
        <w:rPr>
          <w:b/>
        </w:rPr>
        <w:t xml:space="preserve">27. </w:t>
      </w:r>
      <w:r>
        <w:t>Beatty PR, Puerta-Guardo H, Killingbeck SS, Glasner DR, Hopkins K, Harris E. Dengue virus NS1 triggers endothelial permeability and vascular leak that is prevented by NS1 vaccination. Sci Transl Med 2015;7:304ra141.</w:t>
      </w:r>
    </w:p>
    <w:p>
      <w:pPr>
        <w:ind w:hanging="360" w:left="360"/>
      </w:pPr>
      <w:r>
        <w:rPr>
          <w:b/>
        </w:rPr>
        <w:t xml:space="preserve">28. </w:t>
      </w:r>
      <w:r>
        <w:t>Yacoub S, Wills B. Predicting outcome from dengue. BMC Med 2014;12:147.</w:t>
      </w:r>
    </w:p>
    <w:p>
      <w:pPr>
        <w:ind w:hanging="360" w:left="360"/>
      </w:pPr>
      <w:r>
        <w:rPr>
          <w:b/>
        </w:rPr>
        <w:t xml:space="preserve">29. </w:t>
      </w:r>
      <w:r>
        <w:t>Osterholm MT, Moore KA, Kelley NS, Brosseau LM, Wong G, Murphy FA, et al. Transmission of Ebola viruses: what we know and what we do not know. mBio 2015;6:e00137.</w:t>
      </w:r>
    </w:p>
    <w:p>
      <w:pPr>
        <w:ind w:hanging="360" w:left="360"/>
      </w:pPr>
      <w:r>
        <w:rPr>
          <w:b/>
        </w:rPr>
        <w:t xml:space="preserve">30. </w:t>
      </w:r>
      <w:r>
        <w:t>Lindqvist R, Mundt F, Nordstrom H, Gilthorpe JD, Lundkvist A, Lindquist R. Single-cell RNA sequencing reveals cell-type specific antiviral defense mechanisms in tick-borne encephalitis. J Virol 2018;92:e00620-18.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