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Response to Reviewers and Final Revision Notes</w:t>
      </w:r>
    </w:p>
    <w:p>
      <w:r>
        <w:t>Manuscript title: A Cross-Flaviviral Transcriptomic Evidence and Mechanistic Prioritization Framework for Host-Directed Therapy in Kyasanur Forest Disease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Reviewer Concern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Response in Submission-Ready v3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3135"/>
          </w:tcPr>
          <w:p>
            <w:r>
              <w:t>1. Methodology transparency was insufficient.</w:t>
            </w:r>
          </w:p>
        </w:tc>
        <w:tc>
          <w:tcPr>
            <w:tcW w:type="dxa" w:w="3135"/>
          </w:tcPr>
          <w:p>
            <w:r>
              <w:t>Further strengthened. In addition to the prior deterministic workflow, the v3 package now adds pooled effect estimates, confidence intervals, heterogeneity metrics, and explicit evidence-tier grading for each prioritized target.</w:t>
            </w:r>
          </w:p>
        </w:tc>
        <w:tc>
          <w:tcPr>
            <w:tcW w:type="dxa" w:w="3135"/>
          </w:tcPr>
          <w:p>
            <w:r>
              <w:t>Methods; Supplementary Tables S2-S4</w:t>
            </w:r>
          </w:p>
        </w:tc>
      </w:tr>
      <w:tr>
        <w:tc>
          <w:tcPr>
            <w:tcW w:type="dxa" w:w="3135"/>
          </w:tcPr>
          <w:p>
            <w:r>
              <w:t>2. Gene signature derivation appeared arbitrary.</w:t>
            </w:r>
          </w:p>
        </w:tc>
        <w:tc>
          <w:tcPr>
            <w:tcW w:type="dxa" w:w="3135"/>
          </w:tcPr>
          <w:p>
            <w:r>
              <w:t>The panel remains prespecified and is no longer described as a de novo KFD discovery signature. v3 improves rigor by explicitly separating panel-based mechanistic prioritization from transcriptomic evidence strength.</w:t>
            </w:r>
          </w:p>
        </w:tc>
        <w:tc>
          <w:tcPr>
            <w:tcW w:type="dxa" w:w="3135"/>
          </w:tcPr>
          <w:p>
            <w:r>
              <w:t>Abstract, Methods, Discussion</w:t>
            </w:r>
          </w:p>
        </w:tc>
      </w:tr>
      <w:tr>
        <w:tc>
          <w:tcPr>
            <w:tcW w:type="dxa" w:w="3135"/>
          </w:tcPr>
          <w:p>
            <w:r>
              <w:t>3. Composite score needed clearer definition.</w:t>
            </w:r>
          </w:p>
        </w:tc>
        <w:tc>
          <w:tcPr>
            <w:tcW w:type="dxa" w:w="3135"/>
          </w:tcPr>
          <w:p>
            <w:r>
              <w:t>Already addressed in the revised submission and retained here. v3 adds an orthogonal meta-analysis layer so that ranking does not depend only on the composite score.</w:t>
            </w:r>
          </w:p>
        </w:tc>
        <w:tc>
          <w:tcPr>
            <w:tcW w:type="dxa" w:w="3135"/>
          </w:tcPr>
          <w:p>
            <w:r>
              <w:t>Methods; Supplementary Tables</w:t>
            </w:r>
          </w:p>
        </w:tc>
      </w:tr>
      <w:tr>
        <w:tc>
          <w:tcPr>
            <w:tcW w:type="dxa" w:w="3135"/>
          </w:tcPr>
          <w:p>
            <w:r>
              <w:t>4. The original multi-omics framing was overstated.</w:t>
            </w:r>
          </w:p>
        </w:tc>
        <w:tc>
          <w:tcPr>
            <w:tcW w:type="dxa" w:w="3135"/>
          </w:tcPr>
          <w:p>
            <w:r>
              <w:t>Retained correction. The v3 package continues to describe the work as a transcriptomic evidence and mechanistic prioritization framework.</w:t>
            </w:r>
          </w:p>
        </w:tc>
        <w:tc>
          <w:tcPr>
            <w:tcW w:type="dxa" w:w="3135"/>
          </w:tcPr>
          <w:p>
            <w:r>
              <w:t>Title, Abstract, Introduction</w:t>
            </w:r>
          </w:p>
        </w:tc>
      </w:tr>
      <w:tr>
        <w:tc>
          <w:tcPr>
            <w:tcW w:type="dxa" w:w="3135"/>
          </w:tcPr>
          <w:p>
            <w:r>
              <w:t>5. Results and interpretation were inconsistent.</w:t>
            </w:r>
          </w:p>
        </w:tc>
        <w:tc>
          <w:tcPr>
            <w:tcW w:type="dxa" w:w="3135"/>
          </w:tcPr>
          <w:p>
            <w:r>
              <w:t>Further corrected. v3 explicitly states that inflammatory targets have the strongest transcriptomic support, while endothelial/coagulation findings are mechanistic-priority hypotheses with weaker transcriptomic support.</w:t>
            </w:r>
          </w:p>
        </w:tc>
        <w:tc>
          <w:tcPr>
            <w:tcW w:type="dxa" w:w="3135"/>
          </w:tcPr>
          <w:p>
            <w:r>
              <w:t>Results, Discussion, Conclusions</w:t>
            </w:r>
          </w:p>
        </w:tc>
      </w:tr>
      <w:tr>
        <w:tc>
          <w:tcPr>
            <w:tcW w:type="dxa" w:w="3135"/>
          </w:tcPr>
          <w:p>
            <w:r>
              <w:t>6. Clinical recommendations were premature.</w:t>
            </w:r>
          </w:p>
        </w:tc>
        <w:tc>
          <w:tcPr>
            <w:tcW w:type="dxa" w:w="3135"/>
          </w:tcPr>
          <w:p>
            <w:r>
              <w:t>Strengthened correction. The intervention table now labels all candidates as hypothesis-generating only and distinguishes standard supportive care from exploratory repurposing concepts.</w:t>
            </w:r>
          </w:p>
        </w:tc>
        <w:tc>
          <w:tcPr>
            <w:tcW w:type="dxa" w:w="3135"/>
          </w:tcPr>
          <w:p>
            <w:r>
              <w:t>Table 3, Discussion</w:t>
            </w:r>
          </w:p>
        </w:tc>
      </w:tr>
      <w:tr>
        <w:tc>
          <w:tcPr>
            <w:tcW w:type="dxa" w:w="3135"/>
          </w:tcPr>
          <w:p>
            <w:r>
              <w:t>7. Cross-virus extrapolation required stronger justification.</w:t>
            </w:r>
          </w:p>
        </w:tc>
        <w:tc>
          <w:tcPr>
            <w:tcW w:type="dxa" w:w="3135"/>
          </w:tcPr>
          <w:p>
            <w:r>
              <w:t>v3 keeps the narrowed dengue-only discovery base and adds an uncertainty framework showing that current proxy datasets are insufficient for strong KFD-specific molecular claims.</w:t>
            </w:r>
          </w:p>
        </w:tc>
        <w:tc>
          <w:tcPr>
            <w:tcW w:type="dxa" w:w="3135"/>
          </w:tcPr>
          <w:p>
            <w:r>
              <w:t>Introduction, Methods, Limitations</w:t>
            </w:r>
          </w:p>
        </w:tc>
      </w:tr>
      <w:tr>
        <w:tc>
          <w:tcPr>
            <w:tcW w:type="dxa" w:w="3135"/>
          </w:tcPr>
          <w:p>
            <w:r>
              <w:t>8. Pathway classification required support.</w:t>
            </w:r>
          </w:p>
        </w:tc>
        <w:tc>
          <w:tcPr>
            <w:tcW w:type="dxa" w:w="3135"/>
          </w:tcPr>
          <w:p>
            <w:r>
              <w:t>Retained from the revised package. Reactome-supported pathway mapping remains documented in the methods and supplementary file.</w:t>
            </w:r>
          </w:p>
        </w:tc>
        <w:tc>
          <w:tcPr>
            <w:tcW w:type="dxa" w:w="3135"/>
          </w:tcPr>
          <w:p>
            <w:r>
              <w:t>Methods; Supplementary</w:t>
            </w:r>
          </w:p>
        </w:tc>
      </w:tr>
      <w:tr>
        <w:tc>
          <w:tcPr>
            <w:tcW w:type="dxa" w:w="3135"/>
          </w:tcPr>
          <w:p>
            <w:r>
              <w:t>9. Tables/figures needed closer agreement with claims.</w:t>
            </w:r>
          </w:p>
        </w:tc>
        <w:tc>
          <w:tcPr>
            <w:tcW w:type="dxa" w:w="3135"/>
          </w:tcPr>
          <w:p>
            <w:r>
              <w:t>v3 was built directly from regenerated outputs and audited against the source CSV files. The final text mirrors the evidence-tier summaries and meta-analysis tables.</w:t>
            </w:r>
          </w:p>
        </w:tc>
        <w:tc>
          <w:tcPr>
            <w:tcW w:type="dxa" w:w="3135"/>
          </w:tcPr>
          <w:p>
            <w:r>
              <w:t>All tables and figures</w:t>
            </w:r>
          </w:p>
        </w:tc>
      </w:tr>
      <w:tr>
        <w:tc>
          <w:tcPr>
            <w:tcW w:type="dxa" w:w="3135"/>
          </w:tcPr>
          <w:p>
            <w:r>
              <w:t>10. Limitations required more emphasis.</w:t>
            </w:r>
          </w:p>
        </w:tc>
        <w:tc>
          <w:tcPr>
            <w:tcW w:type="dxa" w:w="3135"/>
          </w:tcPr>
          <w:p>
            <w:r>
              <w:t>Further strengthened. v3 explicitly states that no gene reached strict cross-cohort support under the current public data base, which narrows the strongest conclusions and clarifies what still requires KFD-specific validation.</w:t>
            </w:r>
          </w:p>
        </w:tc>
        <w:tc>
          <w:tcPr>
            <w:tcW w:type="dxa" w:w="3135"/>
          </w:tcPr>
          <w:p>
            <w:r>
              <w:t>Abstract, Results, Limitations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