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Article Type: </w:t>
      </w:r>
      <w:r>
        <w:t>Original Article</w:t>
      </w:r>
    </w:p>
    <w:p>
      <w:r>
        <w:rPr>
          <w:b/>
        </w:rPr>
        <w:t xml:space="preserve">Title: </w:t>
      </w:r>
      <w:r>
        <w:t>A Cross-Flaviviral Transcriptomic Evidence and Mechanistic Prioritization Framework for Host-Directed Therapy in Kyasanur Forest Disease</w:t>
      </w:r>
    </w:p>
    <w:p>
      <w:r>
        <w:rPr>
          <w:b/>
        </w:rPr>
        <w:t xml:space="preserve">Running Title: </w:t>
      </w:r>
      <w:r>
        <w:t>Evidence-Based HDT Framework for KFD</w:t>
      </w:r>
    </w:p>
    <w:p>
      <w:r>
        <w:rPr>
          <w:b/>
        </w:rPr>
        <w:t xml:space="preserve">Author: </w:t>
      </w:r>
      <w:r>
        <w:t>Siddalingaiah H S</w:t>
      </w:r>
    </w:p>
    <w:p>
      <w:r>
        <w:rPr>
          <w:b/>
        </w:rPr>
        <w:t xml:space="preserve">Affiliation: </w:t>
      </w:r>
      <w:r>
        <w:t>Department of Community Medicine, Shridevi Institute of Medical Sciences and Research Hospital, Tumkur, Karnataka, India</w:t>
      </w:r>
    </w:p>
    <w:p>
      <w:r>
        <w:rPr>
          <w:b/>
        </w:rPr>
        <w:t xml:space="preserve">Corresponding Author: </w:t>
      </w:r>
      <w:r>
        <w:t>Dr. Siddalingaiah H S, MD; hssling@yahoo.com; +91-8941087719; ORCID 0000-0002-4771-8285</w:t>
      </w:r>
    </w:p>
    <w:p>
      <w:r>
        <w:rPr>
          <w:b/>
        </w:rPr>
        <w:t xml:space="preserve">Word Count: </w:t>
      </w:r>
      <w:r>
        <w:t>Abstract 195; total manuscript text including references approximately 1469</w:t>
      </w:r>
    </w:p>
    <w:p>
      <w:r>
        <w:rPr>
          <w:b/>
        </w:rPr>
        <w:t xml:space="preserve">Tables/Figures: </w:t>
      </w:r>
      <w:r>
        <w:t>3 tables and 4 figures in the blinded article; supplementary material provided separately</w:t>
      </w:r>
    </w:p>
    <w:p>
      <w:r>
        <w:rPr>
          <w:b/>
        </w:rPr>
        <w:t xml:space="preserve">Funding: </w:t>
      </w:r>
      <w:r>
        <w:t>None</w:t>
      </w:r>
    </w:p>
    <w:p>
      <w:r>
        <w:rPr>
          <w:b/>
        </w:rPr>
        <w:t xml:space="preserve">Conflicts of Interest: </w:t>
      </w:r>
      <w:r>
        <w:t>None declared</w:t>
      </w:r>
    </w:p>
    <w:p>
      <w:r>
        <w:rPr>
          <w:b/>
        </w:rPr>
        <w:t xml:space="preserve">Ethics Statement: </w:t>
      </w:r>
      <w:r>
        <w:t>Secondary analysis of publicly available de-identified datasets; ethics approval not required</w:t>
      </w:r>
    </w:p>
    <w:p>
      <w:r>
        <w:rPr>
          <w:b/>
        </w:rPr>
        <w:t xml:space="preserve">Version Note: </w:t>
      </w:r>
      <w:r>
        <w:t>Submission-ready v3 package integrates meta-analysis/uncertainty layer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