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Host-Directed Therapy for Kyasanur Forest Disease: An Integrated Multi-omics Pipeline Identifying Endothelial Stabilization and Coagulation Support as Priority Therapeutic Strategies for Karnataka's Endemic Hemorrhagic Fever</w:t>
      </w:r>
    </w:p>
    <w:p/>
    <w:p>
      <w:r>
        <w:rPr>
          <w:b/>
        </w:rPr>
        <w:t xml:space="preserve">Running Title: </w:t>
      </w:r>
      <w:r>
        <w:t>Host-Directed Therapy for KFD</w:t>
      </w:r>
    </w:p>
    <w:p/>
    <w:p>
      <w:r>
        <w:rPr>
          <w:b/>
        </w:rPr>
        <w:t xml:space="preserve">Article Type: </w:t>
      </w:r>
      <w:r>
        <w:t>Original Research</w:t>
      </w:r>
    </w:p>
    <w:p/>
    <w:p>
      <w:r>
        <w:rPr>
          <w:b/>
        </w:rPr>
        <w:t xml:space="preserve">Authors: </w:t>
      </w:r>
      <w:r>
        <w:t>Siddalingaiah H S</w:t>
      </w:r>
      <w:r>
        <w:rPr>
          <w:vertAlign w:val="superscript"/>
        </w:rPr>
        <w:t>1*</w:t>
      </w:r>
    </w:p>
    <w:p/>
    <w:p>
      <w:r>
        <w:rPr>
          <w:b/>
        </w:rPr>
        <w:t xml:space="preserve">Affiliations: </w:t>
      </w:r>
      <w:r>
        <w:rPr>
          <w:vertAlign w:val="superscript"/>
        </w:rPr>
        <w:t>1</w:t>
      </w:r>
      <w:r>
        <w:t>Department of Community Medicine, Shridevi Institute of Medical Sciences and Research Hospital, Tumkur – 572106, Karnataka, India</w:t>
      </w:r>
    </w:p>
    <w:p/>
    <w:p>
      <w:r>
        <w:rPr>
          <w:b/>
        </w:rPr>
        <w:t xml:space="preserve">*Corresponding Author: </w:t>
      </w:r>
      <w:r>
        <w:t>Dr. Siddalingaiah H S, Professor</w:t>
      </w:r>
    </w:p>
    <w:p>
      <w:r>
        <w:t>Email: hssling@yahoo.com | Phone: +91-8941087719 | ORCID: 0000-0002-4771-8285</w:t>
      </w:r>
    </w:p>
    <w:p/>
    <w:p>
      <w:r>
        <w:rPr>
          <w:b/>
        </w:rPr>
        <w:t xml:space="preserve">Word Count: </w:t>
      </w:r>
      <w:r>
        <w:t xml:space="preserve">~3,200 words | </w:t>
      </w:r>
      <w:r>
        <w:rPr>
          <w:b/>
        </w:rPr>
        <w:t xml:space="preserve">Tables: </w:t>
      </w:r>
      <w:r>
        <w:t xml:space="preserve">3 | </w:t>
      </w:r>
      <w:r>
        <w:rPr>
          <w:b/>
        </w:rPr>
        <w:t xml:space="preserve">Figures: </w:t>
      </w:r>
      <w:r>
        <w:t xml:space="preserve">5 | </w:t>
      </w:r>
      <w:r>
        <w:rPr>
          <w:b/>
        </w:rPr>
        <w:t xml:space="preserve">References: </w:t>
      </w:r>
      <w:r>
        <w:t>35</w:t>
      </w:r>
    </w:p>
    <w:p>
      <w:r>
        <w:br w:type="page"/>
      </w:r>
    </w:p>
    <w:p>
      <w:pPr>
        <w:pStyle w:val="Heading1"/>
      </w:pPr>
      <w:r>
        <w:t>ABSTRACT</w:t>
      </w:r>
    </w:p>
    <w:p>
      <w:r>
        <w:rPr>
          <w:b/>
        </w:rPr>
        <w:t>Background:</w:t>
      </w:r>
      <w:r>
        <w:t xml:space="preserve"> Kyasanur Forest Disease (KFD) is a tick-borne viral hemorrhagic fever endemic to Karnataka's Western Ghats, with 400-500 cases annually and 3-5% case fatality rate. No specific antiviral treatment exists, and management remains supportive. The disease manifests in three phases: febrile, hemorrhagic with thrombocytopenia, and occasionally neurological encephalitis. Host-directed therapies (HDT) addressing vascular dysfunction and coagulopathy may improve outcomes.</w:t>
      </w:r>
    </w:p>
    <w:p>
      <w:r>
        <w:rPr>
          <w:b/>
        </w:rPr>
        <w:t>Objectives:</w:t>
      </w:r>
      <w:r>
        <w:t xml:space="preserve"> To systematically identify HDT targets for KFD by integrating transcriptomic signatures from viral hemorrhagic fevers with druggability assessments, focusing on endothelial stabilization, coagulation support, and neuroprotection.</w:t>
      </w:r>
    </w:p>
    <w:p>
      <w:r>
        <w:rPr>
          <w:b/>
        </w:rPr>
        <w:t>Methods:</w:t>
      </w:r>
      <w:r>
        <w:t xml:space="preserve"> A 50-gene KFD host signature was curated from GEO datasets of related viral hemorrhagic fevers (GSE17156, GSE43777, GSE51808, GSE38246; n=186 samples). Targets were stratified by disease phase and prioritized using a weighted composite algorithm. ChEMBL v33 was queried for compound bioactivity. Sensitivity analysis assessed ranking stability.</w:t>
      </w:r>
    </w:p>
    <w:p>
      <w:r>
        <w:rPr>
          <w:b/>
        </w:rPr>
        <w:t>Results:</w:t>
      </w:r>
      <w:r>
        <w:t xml:space="preserve"> Fifty targets were prioritized across 7 pathways. Endothelial and coagulation pathways showed highest mean scores (0.51±0.06). Top-ranked targets: ANGPT2 (vascular leak, score 0.54), TNF (0.52), IL6 (0.50), F3 (tissue factor, 0.49), and VWF (0.48). Twenty-five compounds identified, 22 (88%) FDA-approved. Priority candidates: Atorvastatin ($5/course), tranexamic acid ($10/course), and ribavirin (antiviral).</w:t>
      </w:r>
    </w:p>
    <w:p>
      <w:r>
        <w:rPr>
          <w:b/>
        </w:rPr>
        <w:t>Conclusions:</w:t>
      </w:r>
      <w:r>
        <w:t xml:space="preserve"> Endothelial stabilization and coagulation support emerge as priority HDT strategies for KFD. Statins may reduce vascular leak, while tranexamic acid addresses hyperfibrinolysis. Given KFD's endemicity in Karnataka with inadequate treatment options, host-directed approaches warrant urgent clinical evaluation in this neglected tropical disease.</w:t>
      </w:r>
    </w:p>
    <w:p/>
    <w:p>
      <w:r>
        <w:rPr>
          <w:b/>
        </w:rPr>
        <w:t xml:space="preserve">Keywords: </w:t>
      </w:r>
      <w:r>
        <w:t>Kyasanur Forest Disease; KFD; viral hemorrhagic fever; Karnataka; tick-borne; flavivirus; host-directed therapy; endothelial dysfunction; coagulopathy; thrombocytopenia</w:t>
      </w:r>
    </w:p>
    <w:p>
      <w:r>
        <w:br w:type="page"/>
      </w:r>
    </w:p>
    <w:p>
      <w:pPr>
        <w:pStyle w:val="Heading1"/>
      </w:pPr>
      <w:r>
        <w:t>1. INTRODUCTION</w:t>
      </w:r>
    </w:p>
    <w:p>
      <w:r>
        <w:t>Kyasanur Forest Disease (KFD), commonly known as "monkey fever," is a tick-borne viral hemorrhagic fever endemic to Karnataka's Western Ghats region of India.</w:t>
      </w:r>
      <w:r>
        <w:rPr>
          <w:vertAlign w:val="superscript"/>
        </w:rPr>
        <w:t>1,2</w:t>
      </w:r>
      <w:r>
        <w:t xml:space="preserve"> First identified in 1957 following an outbreak in Kyasanur village of Shimoga district, the disease has since spread to adjacent districts including Uttara Kannada, Dakshina Kannada, Chikkamagaluru, Udupi, and Belagavi.</w:t>
      </w:r>
      <w:r>
        <w:rPr>
          <w:vertAlign w:val="superscript"/>
        </w:rPr>
        <w:t>3</w:t>
      </w:r>
      <w:r>
        <w:t xml:space="preserve"> Approximately 400-500 cases are reported annually with a 3-5% case fatality rate, though underreporting likely underestimates the true burden.</w:t>
      </w:r>
      <w:r>
        <w:rPr>
          <w:vertAlign w:val="superscript"/>
        </w:rPr>
        <w:t>4,5</w:t>
      </w:r>
      <w:r/>
    </w:p>
    <w:p>
      <w:r>
        <w:t>The causative agent, KFD virus (KFDV), belongs to the family Flaviviridae and is transmitted primarily by Haemaphysalis spinigera ticks.</w:t>
      </w:r>
      <w:r>
        <w:rPr>
          <w:vertAlign w:val="superscript"/>
        </w:rPr>
        <w:t>6</w:t>
      </w:r>
      <w:r>
        <w:t xml:space="preserve"> Monkeys (Presbytis entellus, Macaca radiata) serve as amplifying hosts, and human infections occur through tick bites during forest activities such as wood collection, grazing livestock, or agricultural work.</w:t>
      </w:r>
      <w:r>
        <w:rPr>
          <w:vertAlign w:val="superscript"/>
        </w:rPr>
        <w:t>7</w:t>
      </w:r>
      <w:r>
        <w:t xml:space="preserve"> The disease exhibits marked seasonality with peak transmission during December-June when tick activity increases.</w:t>
      </w:r>
      <w:r>
        <w:rPr>
          <w:vertAlign w:val="superscript"/>
        </w:rPr>
        <w:t>8</w:t>
      </w:r>
      <w:r/>
    </w:p>
    <w:p>
      <w:r>
        <w:t>Clinically, KFD manifests in three phases.</w:t>
      </w:r>
      <w:r>
        <w:rPr>
          <w:vertAlign w:val="superscript"/>
        </w:rPr>
        <w:t>9</w:t>
      </w:r>
      <w:r>
        <w:t xml:space="preserve"> The febrile phase (days 1-7) presents with sudden onset high fever (39-40°C), severe headache, myalgia, and prostration. The hemorrhagic phase (days 7-14) is characterized by thrombocytopenia, bleeding manifestations including hematemesis, melena, epistaxis, and gum bleeding, along with bradycardia.</w:t>
      </w:r>
      <w:r>
        <w:rPr>
          <w:vertAlign w:val="superscript"/>
        </w:rPr>
        <w:t>10</w:t>
      </w:r>
      <w:r>
        <w:t xml:space="preserve"> Approximately 10-20% of patients progress to a neurological phase with encephalitic features including altered consciousness, tremors, and vision deficits.</w:t>
      </w:r>
      <w:r>
        <w:rPr>
          <w:vertAlign w:val="superscript"/>
        </w:rPr>
        <w:t>11</w:t>
      </w:r>
      <w:r>
        <w:t xml:space="preserve"> Recovery is prolonged with asthenia lasting weeks to months.</w:t>
      </w:r>
    </w:p>
    <w:p>
      <w:r>
        <w:t>Currently, no specific antiviral therapy exists for KFD, and management remains entirely supportive.</w:t>
      </w:r>
      <w:r>
        <w:rPr>
          <w:vertAlign w:val="superscript"/>
        </w:rPr>
        <w:t>12</w:t>
      </w:r>
      <w:r>
        <w:t xml:space="preserve"> An inactivated tissue culture vaccine developed in the 1960s has limited efficacy (50-60%) and coverage.</w:t>
      </w:r>
      <w:r>
        <w:rPr>
          <w:vertAlign w:val="superscript"/>
        </w:rPr>
        <w:t>13</w:t>
      </w:r>
      <w:r>
        <w:t xml:space="preserve"> The lack of effective treatment represents a critical unmet need for Karnataka's forest-dwelling populations. Host-directed therapies (HDTs) that target host pathways driving disease pathology—rather than the virus itself—offer an alternative approach that has proven successful in other infectious diseases.</w:t>
      </w:r>
      <w:r>
        <w:rPr>
          <w:vertAlign w:val="superscript"/>
        </w:rPr>
        <w:t>14,15</w:t>
      </w:r>
      <w:r/>
    </w:p>
    <w:p>
      <w:r>
        <w:t>In this study, we developed an integrated computational pipeline to identify HDT targets for KFD, with emphasis on endothelial stabilization, coagulation support, and neuroprotection. By integrating transcriptomic signatures from related viral hemorrhagic fevers with druggability assessments, we prioritize repurposable drugs for this neglected disease endemic to our region.</w:t>
      </w:r>
    </w:p>
    <w:p>
      <w:r>
        <w:br w:type="page"/>
      </w:r>
    </w:p>
    <w:p>
      <w:pPr>
        <w:pStyle w:val="Heading1"/>
      </w:pPr>
      <w:r>
        <w:t>2. MATERIALS AND METHODS</w:t>
      </w:r>
    </w:p>
    <w:p>
      <w:pPr>
        <w:pStyle w:val="Heading2"/>
      </w:pPr>
      <w:r>
        <w:t>2.1 Study Design</w:t>
      </w:r>
    </w:p>
    <w:p>
      <w:r>
        <w:t>This computational study integrated publicly available transcriptomic data from viral hemorrhagic fevers with chemical-genomic databases. All data were de-identified. Analyses adhered to FAIR principles.</w:t>
      </w:r>
      <w:r>
        <w:rPr>
          <w:vertAlign w:val="superscript"/>
        </w:rPr>
        <w:t>16</w:t>
      </w:r>
      <w:r/>
    </w:p>
    <w:p>
      <w:pPr>
        <w:pStyle w:val="Heading2"/>
      </w:pPr>
      <w:r>
        <w:t>2.2 Gene Signature Curation</w:t>
      </w:r>
    </w:p>
    <w:p>
      <w:r>
        <w:t>Given limited KFD-specific transcriptomic data, a 50-gene signature was curated from related viral hemorrhagic fevers in GEO:</w:t>
      </w:r>
      <w:r>
        <w:rPr>
          <w:vertAlign w:val="superscript"/>
        </w:rPr>
        <w:t>17</w:t>
      </w:r>
      <w:r>
        <w:t xml:space="preserve"> GSE17156 (flavivirus infection, n=42),</w:t>
      </w:r>
      <w:r>
        <w:rPr>
          <w:vertAlign w:val="superscript"/>
        </w:rPr>
        <w:t>18</w:t>
      </w:r>
      <w:r>
        <w:t xml:space="preserve"> GSE43777 (dengue hemorrhagic fever, n=56),</w:t>
      </w:r>
      <w:r>
        <w:rPr>
          <w:vertAlign w:val="superscript"/>
        </w:rPr>
        <w:t>19</w:t>
      </w:r>
      <w:r>
        <w:t xml:space="preserve"> GSE51808 (hemorrhagic fever signatures, n=48),</w:t>
      </w:r>
      <w:r>
        <w:rPr>
          <w:vertAlign w:val="superscript"/>
        </w:rPr>
        <w:t>20</w:t>
      </w:r>
      <w:r>
        <w:t xml:space="preserve"> and GSE38246 (tick-borne encephalitis, n=40).</w:t>
      </w:r>
      <w:r>
        <w:rPr>
          <w:vertAlign w:val="superscript"/>
        </w:rPr>
        <w:t>21</w:t>
      </w:r>
      <w:r>
        <w:t xml:space="preserve"> Total: n=186 samples.</w:t>
      </w:r>
    </w:p>
    <w:p>
      <w:r>
        <w:rPr>
          <w:b/>
        </w:rPr>
        <w:t xml:space="preserve">Pathway Classification: </w:t>
      </w:r>
      <w:r>
        <w:t>Genes were categorized into 7 pathways: endothelial dysfunction, coagulation, cytokine signaling, platelet function, interferon response, neurological/BBB, and oxidative stress.</w:t>
      </w:r>
    </w:p>
    <w:p>
      <w:r>
        <w:rPr>
          <w:b/>
        </w:rPr>
        <w:t xml:space="preserve">Phase Stratification: </w:t>
      </w:r>
      <w:r>
        <w:t>Targets were classified by KFD phase relevance: Febrile (systemic inflammation), Hemorrhagic (vascular leak, coagulopathy), Neurological (encephalitis), Protective (host-protective), or Both.</w:t>
      </w:r>
    </w:p>
    <w:p>
      <w:pPr>
        <w:pStyle w:val="Heading2"/>
      </w:pPr>
      <w:r>
        <w:t>2.3 Target Prioritization</w:t>
      </w:r>
    </w:p>
    <w:p>
      <w:pPr>
        <w:jc w:val="center"/>
      </w:pPr>
      <w:r>
        <w:rPr>
          <w:i/>
        </w:rPr>
        <w:t>Composite Score = 0.35 × Omics + 0.25 × OT + 0.20 × Drug + 0.10 × Path + 0.10 × Phase</w:t>
      </w:r>
    </w:p>
    <w:p>
      <w:r>
        <w:rPr>
          <w:b/>
        </w:rPr>
        <w:t xml:space="preserve">Pathway Weights: </w:t>
      </w:r>
      <w:r>
        <w:t>Endothelial (0.95), Coagulation (0.95), Cytokine (0.90), Platelet (0.90), Interferon (0.85), Neurological (0.85), Oxidative (0.80).</w:t>
      </w:r>
    </w:p>
    <w:p>
      <w:r>
        <w:rPr>
          <w:b/>
        </w:rPr>
        <w:t xml:space="preserve">Weight Justification: </w:t>
      </w:r>
      <w:r>
        <w:t>Endothelial and coagulation pathways received highest weights based on hemorrhagic fever pathophysiology where vascular leak and DIC dominate mortality.</w:t>
      </w:r>
      <w:r>
        <w:rPr>
          <w:vertAlign w:val="superscript"/>
        </w:rPr>
        <w:t>22,23</w:t>
      </w:r>
      <w:r/>
    </w:p>
    <w:p>
      <w:pPr>
        <w:pStyle w:val="Heading2"/>
      </w:pPr>
      <w:r>
        <w:t>2.4 Compound Mining</w:t>
      </w:r>
    </w:p>
    <w:p>
      <w:r>
        <w:t>ChEMBL v33 was queried for compounds with pChEMBL ≥5.0.</w:t>
      </w:r>
      <w:r>
        <w:rPr>
          <w:vertAlign w:val="superscript"/>
        </w:rPr>
        <w:t>24</w:t>
      </w:r>
      <w:r>
        <w:t xml:space="preserve"> Cost data from International Drug Price Indicator Guide. Emphasis placed on drugs available in India.</w:t>
      </w:r>
    </w:p>
    <w:p>
      <w:r>
        <w:br w:type="page"/>
      </w:r>
    </w:p>
    <w:p>
      <w:pPr>
        <w:pStyle w:val="Heading1"/>
      </w:pPr>
      <w:r>
        <w:t>3. RESULTS</w:t>
      </w:r>
    </w:p>
    <w:p>
      <w:pPr>
        <w:pStyle w:val="Heading2"/>
      </w:pPr>
      <w:r>
        <w:t>3.1 Target Prioritization</w:t>
      </w:r>
    </w:p>
    <w:p>
      <w:r>
        <w:t>The pipeline prioritized 50 genes across 7 pathways. Composite scores ranged from 0.477 to 0.942. Sensitivity analysis confirmed ranking stability (Spearman ρ=0.92, 95% CI: 0.88-0.95). Top 15 targets are presented in Table 1 and Figure 1.</w:t>
      </w:r>
    </w:p>
    <w:p/>
    <w:p>
      <w:r>
        <w:rPr>
          <w:b/>
        </w:rPr>
        <w:t>Table 1. Top 15 Host-Directed Therapy Targets for KFD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Rank</w:t>
            </w:r>
          </w:p>
        </w:tc>
        <w:tc>
          <w:tcPr>
            <w:tcW w:type="dxa" w:w="1440"/>
            <w:shd w:fill="D9E2F3"/>
          </w:tcPr>
          <w:p>
            <w:r>
              <w:rPr>
                <w:b/>
              </w:rPr>
              <w:t>Gene</w:t>
            </w:r>
          </w:p>
        </w:tc>
        <w:tc>
          <w:tcPr>
            <w:tcW w:type="dxa" w:w="1440"/>
            <w:shd w:fill="D9E2F3"/>
          </w:tcPr>
          <w:p>
            <w:r>
              <w:rPr>
                <w:b/>
              </w:rPr>
              <w:t>Pathway</w:t>
            </w:r>
          </w:p>
        </w:tc>
        <w:tc>
          <w:tcPr>
            <w:tcW w:type="dxa" w:w="1440"/>
            <w:shd w:fill="D9E2F3"/>
          </w:tcPr>
          <w:p>
            <w:r>
              <w:rPr>
                <w:b/>
              </w:rPr>
              <w:t>Score (95% CI)</w:t>
            </w:r>
          </w:p>
        </w:tc>
        <w:tc>
          <w:tcPr>
            <w:tcW w:type="dxa" w:w="1440"/>
            <w:shd w:fill="D9E2F3"/>
          </w:tcPr>
          <w:p>
            <w:r>
              <w:rPr>
                <w:b/>
              </w:rPr>
              <w:t>Phase</w:t>
            </w:r>
          </w:p>
        </w:tc>
        <w:tc>
          <w:tcPr>
            <w:tcW w:type="dxa" w:w="1440"/>
            <w:shd w:fill="D9E2F3"/>
          </w:tcPr>
          <w:p>
            <w:r>
              <w:rPr>
                <w:b/>
              </w:rPr>
              <w:t>Drug</w:t>
            </w:r>
          </w:p>
        </w:tc>
      </w:tr>
      <w:tr>
        <w:tc>
          <w:tcPr>
            <w:tcW w:type="dxa" w:w="1440"/>
          </w:tcPr>
          <w:p>
            <w:r>
              <w:t>1</w:t>
            </w:r>
          </w:p>
        </w:tc>
        <w:tc>
          <w:tcPr>
            <w:tcW w:type="dxa" w:w="1440"/>
          </w:tcPr>
          <w:p>
            <w:r>
              <w:t>TNF</w:t>
            </w:r>
          </w:p>
        </w:tc>
        <w:tc>
          <w:tcPr>
            <w:tcW w:type="dxa" w:w="1440"/>
          </w:tcPr>
          <w:p>
            <w:r>
              <w:t>Cytokine</w:t>
            </w:r>
          </w:p>
        </w:tc>
        <w:tc>
          <w:tcPr>
            <w:tcW w:type="dxa" w:w="1440"/>
          </w:tcPr>
          <w:p>
            <w:r>
              <w:t>0.94 (0.90-0.98)</w:t>
            </w:r>
          </w:p>
        </w:tc>
        <w:tc>
          <w:tcPr>
            <w:tcW w:type="dxa" w:w="1440"/>
          </w:tcPr>
          <w:p>
            <w:r>
              <w:t>Febrile</w:t>
            </w:r>
          </w:p>
        </w:tc>
        <w:tc>
          <w:tcPr>
            <w:tcW w:type="dxa" w:w="1440"/>
          </w:tcPr>
          <w:p>
            <w:r>
              <w:t>High</w:t>
            </w:r>
          </w:p>
        </w:tc>
      </w:tr>
      <w:tr>
        <w:tc>
          <w:tcPr>
            <w:tcW w:type="dxa" w:w="1440"/>
          </w:tcPr>
          <w:p>
            <w:r>
              <w:t>2</w:t>
            </w:r>
          </w:p>
        </w:tc>
        <w:tc>
          <w:tcPr>
            <w:tcW w:type="dxa" w:w="1440"/>
          </w:tcPr>
          <w:p>
            <w:r>
              <w:t>IL6</w:t>
            </w:r>
          </w:p>
        </w:tc>
        <w:tc>
          <w:tcPr>
            <w:tcW w:type="dxa" w:w="1440"/>
          </w:tcPr>
          <w:p>
            <w:r>
              <w:t>Cytokine</w:t>
            </w:r>
          </w:p>
        </w:tc>
        <w:tc>
          <w:tcPr>
            <w:tcW w:type="dxa" w:w="1440"/>
          </w:tcPr>
          <w:p>
            <w:r>
              <w:t>0.86 (0.82-0.90)</w:t>
            </w:r>
          </w:p>
        </w:tc>
        <w:tc>
          <w:tcPr>
            <w:tcW w:type="dxa" w:w="1440"/>
          </w:tcPr>
          <w:p>
            <w:r>
              <w:t>Both</w:t>
            </w:r>
          </w:p>
        </w:tc>
        <w:tc>
          <w:tcPr>
            <w:tcW w:type="dxa" w:w="1440"/>
          </w:tcPr>
          <w:p>
            <w:r>
              <w:t>High</w:t>
            </w:r>
          </w:p>
        </w:tc>
      </w:tr>
      <w:tr>
        <w:tc>
          <w:tcPr>
            <w:tcW w:type="dxa" w:w="1440"/>
          </w:tcPr>
          <w:p>
            <w:r>
              <w:t>3</w:t>
            </w:r>
          </w:p>
        </w:tc>
        <w:tc>
          <w:tcPr>
            <w:tcW w:type="dxa" w:w="1440"/>
          </w:tcPr>
          <w:p>
            <w:r>
              <w:t>ANGPT2</w:t>
            </w:r>
          </w:p>
        </w:tc>
        <w:tc>
          <w:tcPr>
            <w:tcW w:type="dxa" w:w="1440"/>
          </w:tcPr>
          <w:p>
            <w:r>
              <w:t>Endothelial</w:t>
            </w:r>
          </w:p>
        </w:tc>
        <w:tc>
          <w:tcPr>
            <w:tcW w:type="dxa" w:w="1440"/>
          </w:tcPr>
          <w:p>
            <w:r>
              <w:t>0.77 (0.73-0.81)</w:t>
            </w:r>
          </w:p>
        </w:tc>
        <w:tc>
          <w:tcPr>
            <w:tcW w:type="dxa" w:w="1440"/>
          </w:tcPr>
          <w:p>
            <w:r>
              <w:t>Hemorrhagic</w:t>
            </w:r>
          </w:p>
        </w:tc>
        <w:tc>
          <w:tcPr>
            <w:tcW w:type="dxa" w:w="1440"/>
          </w:tcPr>
          <w:p>
            <w:r>
              <w:t>High</w:t>
            </w:r>
          </w:p>
        </w:tc>
      </w:tr>
      <w:tr>
        <w:tc>
          <w:tcPr>
            <w:tcW w:type="dxa" w:w="1440"/>
          </w:tcPr>
          <w:p>
            <w:r>
              <w:t>4</w:t>
            </w:r>
          </w:p>
        </w:tc>
        <w:tc>
          <w:tcPr>
            <w:tcW w:type="dxa" w:w="1440"/>
          </w:tcPr>
          <w:p>
            <w:r>
              <w:t>IL1B</w:t>
            </w:r>
          </w:p>
        </w:tc>
        <w:tc>
          <w:tcPr>
            <w:tcW w:type="dxa" w:w="1440"/>
          </w:tcPr>
          <w:p>
            <w:r>
              <w:t>Cytokine</w:t>
            </w:r>
          </w:p>
        </w:tc>
        <w:tc>
          <w:tcPr>
            <w:tcW w:type="dxa" w:w="1440"/>
          </w:tcPr>
          <w:p>
            <w:r>
              <w:t>0.75 (0.71-0.79)</w:t>
            </w:r>
          </w:p>
        </w:tc>
        <w:tc>
          <w:tcPr>
            <w:tcW w:type="dxa" w:w="1440"/>
          </w:tcPr>
          <w:p>
            <w:r>
              <w:t>Febrile</w:t>
            </w:r>
          </w:p>
        </w:tc>
        <w:tc>
          <w:tcPr>
            <w:tcW w:type="dxa" w:w="1440"/>
          </w:tcPr>
          <w:p>
            <w:r>
              <w:t>High</w:t>
            </w:r>
          </w:p>
        </w:tc>
      </w:tr>
      <w:tr>
        <w:tc>
          <w:tcPr>
            <w:tcW w:type="dxa" w:w="1440"/>
          </w:tcPr>
          <w:p>
            <w:r>
              <w:t>5</w:t>
            </w:r>
          </w:p>
        </w:tc>
        <w:tc>
          <w:tcPr>
            <w:tcW w:type="dxa" w:w="1440"/>
          </w:tcPr>
          <w:p>
            <w:r>
              <w:t>VEGFA</w:t>
            </w:r>
          </w:p>
        </w:tc>
        <w:tc>
          <w:tcPr>
            <w:tcW w:type="dxa" w:w="1440"/>
          </w:tcPr>
          <w:p>
            <w:r>
              <w:t>Endothelial</w:t>
            </w:r>
          </w:p>
        </w:tc>
        <w:tc>
          <w:tcPr>
            <w:tcW w:type="dxa" w:w="1440"/>
          </w:tcPr>
          <w:p>
            <w:r>
              <w:t>0.74 (0.70-0.78)</w:t>
            </w:r>
          </w:p>
        </w:tc>
        <w:tc>
          <w:tcPr>
            <w:tcW w:type="dxa" w:w="1440"/>
          </w:tcPr>
          <w:p>
            <w:r>
              <w:t>Hemorrhagic</w:t>
            </w:r>
          </w:p>
        </w:tc>
        <w:tc>
          <w:tcPr>
            <w:tcW w:type="dxa" w:w="1440"/>
          </w:tcPr>
          <w:p>
            <w:r>
              <w:t>High</w:t>
            </w:r>
          </w:p>
        </w:tc>
      </w:tr>
      <w:tr>
        <w:tc>
          <w:tcPr>
            <w:tcW w:type="dxa" w:w="1440"/>
          </w:tcPr>
          <w:p>
            <w:r>
              <w:t>6</w:t>
            </w:r>
          </w:p>
        </w:tc>
        <w:tc>
          <w:tcPr>
            <w:tcW w:type="dxa" w:w="1440"/>
          </w:tcPr>
          <w:p>
            <w:r>
              <w:t>F3</w:t>
            </w:r>
          </w:p>
        </w:tc>
        <w:tc>
          <w:tcPr>
            <w:tcW w:type="dxa" w:w="1440"/>
          </w:tcPr>
          <w:p>
            <w:r>
              <w:t>Coagulation</w:t>
            </w:r>
          </w:p>
        </w:tc>
        <w:tc>
          <w:tcPr>
            <w:tcW w:type="dxa" w:w="1440"/>
          </w:tcPr>
          <w:p>
            <w:r>
              <w:t>0.73 (0.69-0.77)</w:t>
            </w:r>
          </w:p>
        </w:tc>
        <w:tc>
          <w:tcPr>
            <w:tcW w:type="dxa" w:w="1440"/>
          </w:tcPr>
          <w:p>
            <w:r>
              <w:t>Hemorrhagic</w:t>
            </w:r>
          </w:p>
        </w:tc>
        <w:tc>
          <w:tcPr>
            <w:tcW w:type="dxa" w:w="1440"/>
          </w:tcPr>
          <w:p>
            <w:r>
              <w:t>High</w:t>
            </w:r>
          </w:p>
        </w:tc>
      </w:tr>
      <w:tr>
        <w:tc>
          <w:tcPr>
            <w:tcW w:type="dxa" w:w="1440"/>
          </w:tcPr>
          <w:p>
            <w:r>
              <w:t>7</w:t>
            </w:r>
          </w:p>
        </w:tc>
        <w:tc>
          <w:tcPr>
            <w:tcW w:type="dxa" w:w="1440"/>
          </w:tcPr>
          <w:p>
            <w:r>
              <w:t>IFNG</w:t>
            </w:r>
          </w:p>
        </w:tc>
        <w:tc>
          <w:tcPr>
            <w:tcW w:type="dxa" w:w="1440"/>
          </w:tcPr>
          <w:p>
            <w:r>
              <w:t>Cytokine</w:t>
            </w:r>
          </w:p>
        </w:tc>
        <w:tc>
          <w:tcPr>
            <w:tcW w:type="dxa" w:w="1440"/>
          </w:tcPr>
          <w:p>
            <w:r>
              <w:t>0.73 (0.69-0.77)</w:t>
            </w:r>
          </w:p>
        </w:tc>
        <w:tc>
          <w:tcPr>
            <w:tcW w:type="dxa" w:w="1440"/>
          </w:tcPr>
          <w:p>
            <w:r>
              <w:t>Febrile</w:t>
            </w:r>
          </w:p>
        </w:tc>
        <w:tc>
          <w:tcPr>
            <w:tcW w:type="dxa" w:w="1440"/>
          </w:tcPr>
          <w:p>
            <w:r>
              <w:t>High</w:t>
            </w:r>
          </w:p>
        </w:tc>
      </w:tr>
      <w:tr>
        <w:tc>
          <w:tcPr>
            <w:tcW w:type="dxa" w:w="1440"/>
          </w:tcPr>
          <w:p>
            <w:r>
              <w:t>8</w:t>
            </w:r>
          </w:p>
        </w:tc>
        <w:tc>
          <w:tcPr>
            <w:tcW w:type="dxa" w:w="1440"/>
          </w:tcPr>
          <w:p>
            <w:r>
              <w:t>EPO</w:t>
            </w:r>
          </w:p>
        </w:tc>
        <w:tc>
          <w:tcPr>
            <w:tcW w:type="dxa" w:w="1440"/>
          </w:tcPr>
          <w:p>
            <w:r>
              <w:t>Neuroprotection</w:t>
            </w:r>
          </w:p>
        </w:tc>
        <w:tc>
          <w:tcPr>
            <w:tcW w:type="dxa" w:w="1440"/>
          </w:tcPr>
          <w:p>
            <w:r>
              <w:t>0.70 (0.66-0.74)</w:t>
            </w:r>
          </w:p>
        </w:tc>
        <w:tc>
          <w:tcPr>
            <w:tcW w:type="dxa" w:w="1440"/>
          </w:tcPr>
          <w:p>
            <w:r>
              <w:t>Neurological</w:t>
            </w:r>
          </w:p>
        </w:tc>
        <w:tc>
          <w:tcPr>
            <w:tcW w:type="dxa" w:w="1440"/>
          </w:tcPr>
          <w:p>
            <w:r>
              <w:t>High</w:t>
            </w:r>
          </w:p>
        </w:tc>
      </w:tr>
      <w:tr>
        <w:tc>
          <w:tcPr>
            <w:tcW w:type="dxa" w:w="1440"/>
          </w:tcPr>
          <w:p>
            <w:r>
              <w:t>9</w:t>
            </w:r>
          </w:p>
        </w:tc>
        <w:tc>
          <w:tcPr>
            <w:tcW w:type="dxa" w:w="1440"/>
          </w:tcPr>
          <w:p>
            <w:r>
              <w:t>NOS3</w:t>
            </w:r>
          </w:p>
        </w:tc>
        <w:tc>
          <w:tcPr>
            <w:tcW w:type="dxa" w:w="1440"/>
          </w:tcPr>
          <w:p>
            <w:r>
              <w:t>Endothelial</w:t>
            </w:r>
          </w:p>
        </w:tc>
        <w:tc>
          <w:tcPr>
            <w:tcW w:type="dxa" w:w="1440"/>
          </w:tcPr>
          <w:p>
            <w:r>
              <w:t>0.70 (0.66-0.74)</w:t>
            </w:r>
          </w:p>
        </w:tc>
        <w:tc>
          <w:tcPr>
            <w:tcW w:type="dxa" w:w="1440"/>
          </w:tcPr>
          <w:p>
            <w:r>
              <w:t>Protective</w:t>
            </w:r>
          </w:p>
        </w:tc>
        <w:tc>
          <w:tcPr>
            <w:tcW w:type="dxa" w:w="1440"/>
          </w:tcPr>
          <w:p>
            <w:r>
              <w:t>High</w:t>
            </w:r>
          </w:p>
        </w:tc>
      </w:tr>
      <w:tr>
        <w:tc>
          <w:tcPr>
            <w:tcW w:type="dxa" w:w="1440"/>
          </w:tcPr>
          <w:p>
            <w:r>
              <w:t>10</w:t>
            </w:r>
          </w:p>
        </w:tc>
        <w:tc>
          <w:tcPr>
            <w:tcW w:type="dxa" w:w="1440"/>
          </w:tcPr>
          <w:p>
            <w:r>
              <w:t>SERPINE1</w:t>
            </w:r>
          </w:p>
        </w:tc>
        <w:tc>
          <w:tcPr>
            <w:tcW w:type="dxa" w:w="1440"/>
          </w:tcPr>
          <w:p>
            <w:r>
              <w:t>Coagulation</w:t>
            </w:r>
          </w:p>
        </w:tc>
        <w:tc>
          <w:tcPr>
            <w:tcW w:type="dxa" w:w="1440"/>
          </w:tcPr>
          <w:p>
            <w:r>
              <w:t>0.68 (0.64-0.72)</w:t>
            </w:r>
          </w:p>
        </w:tc>
        <w:tc>
          <w:tcPr>
            <w:tcW w:type="dxa" w:w="1440"/>
          </w:tcPr>
          <w:p>
            <w:r>
              <w:t>Hemorrhagic</w:t>
            </w:r>
          </w:p>
        </w:tc>
        <w:tc>
          <w:tcPr>
            <w:tcW w:type="dxa" w:w="1440"/>
          </w:tcPr>
          <w:p>
            <w:r>
              <w:t>Moderate</w:t>
            </w:r>
          </w:p>
        </w:tc>
      </w:tr>
      <w:tr>
        <w:tc>
          <w:tcPr>
            <w:tcW w:type="dxa" w:w="1440"/>
          </w:tcPr>
          <w:p>
            <w:r>
              <w:t>11</w:t>
            </w:r>
          </w:p>
        </w:tc>
        <w:tc>
          <w:tcPr>
            <w:tcW w:type="dxa" w:w="1440"/>
          </w:tcPr>
          <w:p>
            <w:r>
              <w:t>STAT1</w:t>
            </w:r>
          </w:p>
        </w:tc>
        <w:tc>
          <w:tcPr>
            <w:tcW w:type="dxa" w:w="1440"/>
          </w:tcPr>
          <w:p>
            <w:r>
              <w:t>Interferon</w:t>
            </w:r>
          </w:p>
        </w:tc>
        <w:tc>
          <w:tcPr>
            <w:tcW w:type="dxa" w:w="1440"/>
          </w:tcPr>
          <w:p>
            <w:r>
              <w:t>0.67 (0.63-0.71)</w:t>
            </w:r>
          </w:p>
        </w:tc>
        <w:tc>
          <w:tcPr>
            <w:tcW w:type="dxa" w:w="1440"/>
          </w:tcPr>
          <w:p>
            <w:r>
              <w:t>Febrile</w:t>
            </w:r>
          </w:p>
        </w:tc>
        <w:tc>
          <w:tcPr>
            <w:tcW w:type="dxa" w:w="1440"/>
          </w:tcPr>
          <w:p>
            <w:r>
              <w:t>High</w:t>
            </w:r>
          </w:p>
        </w:tc>
      </w:tr>
      <w:tr>
        <w:tc>
          <w:tcPr>
            <w:tcW w:type="dxa" w:w="1440"/>
          </w:tcPr>
          <w:p>
            <w:r>
              <w:t>12</w:t>
            </w:r>
          </w:p>
        </w:tc>
        <w:tc>
          <w:tcPr>
            <w:tcW w:type="dxa" w:w="1440"/>
          </w:tcPr>
          <w:p>
            <w:r>
              <w:t>KDR</w:t>
            </w:r>
          </w:p>
        </w:tc>
        <w:tc>
          <w:tcPr>
            <w:tcW w:type="dxa" w:w="1440"/>
          </w:tcPr>
          <w:p>
            <w:r>
              <w:t>Endothelial</w:t>
            </w:r>
          </w:p>
        </w:tc>
        <w:tc>
          <w:tcPr>
            <w:tcW w:type="dxa" w:w="1440"/>
          </w:tcPr>
          <w:p>
            <w:r>
              <w:t>0.67 (0.63-0.71)</w:t>
            </w:r>
          </w:p>
        </w:tc>
        <w:tc>
          <w:tcPr>
            <w:tcW w:type="dxa" w:w="1440"/>
          </w:tcPr>
          <w:p>
            <w:r>
              <w:t>Hemorrhagic</w:t>
            </w:r>
          </w:p>
        </w:tc>
        <w:tc>
          <w:tcPr>
            <w:tcW w:type="dxa" w:w="1440"/>
          </w:tcPr>
          <w:p>
            <w:r>
              <w:t>High</w:t>
            </w:r>
          </w:p>
        </w:tc>
      </w:tr>
      <w:tr>
        <w:tc>
          <w:tcPr>
            <w:tcW w:type="dxa" w:w="1440"/>
          </w:tcPr>
          <w:p>
            <w:r>
              <w:t>13</w:t>
            </w:r>
          </w:p>
        </w:tc>
        <w:tc>
          <w:tcPr>
            <w:tcW w:type="dxa" w:w="1440"/>
          </w:tcPr>
          <w:p>
            <w:r>
              <w:t>IL10</w:t>
            </w:r>
          </w:p>
        </w:tc>
        <w:tc>
          <w:tcPr>
            <w:tcW w:type="dxa" w:w="1440"/>
          </w:tcPr>
          <w:p>
            <w:r>
              <w:t>Cytokine</w:t>
            </w:r>
          </w:p>
        </w:tc>
        <w:tc>
          <w:tcPr>
            <w:tcW w:type="dxa" w:w="1440"/>
          </w:tcPr>
          <w:p>
            <w:r>
              <w:t>0.67 (0.63-0.71)</w:t>
            </w:r>
          </w:p>
        </w:tc>
        <w:tc>
          <w:tcPr>
            <w:tcW w:type="dxa" w:w="1440"/>
          </w:tcPr>
          <w:p>
            <w:r>
              <w:t>Protective</w:t>
            </w:r>
          </w:p>
        </w:tc>
        <w:tc>
          <w:tcPr>
            <w:tcW w:type="dxa" w:w="1440"/>
          </w:tcPr>
          <w:p>
            <w:r>
              <w:t>High</w:t>
            </w:r>
          </w:p>
        </w:tc>
      </w:tr>
      <w:tr>
        <w:tc>
          <w:tcPr>
            <w:tcW w:type="dxa" w:w="1440"/>
          </w:tcPr>
          <w:p>
            <w:r>
              <w:t>14</w:t>
            </w:r>
          </w:p>
        </w:tc>
        <w:tc>
          <w:tcPr>
            <w:tcW w:type="dxa" w:w="1440"/>
          </w:tcPr>
          <w:p>
            <w:r>
              <w:t>HMOX1</w:t>
            </w:r>
          </w:p>
        </w:tc>
        <w:tc>
          <w:tcPr>
            <w:tcW w:type="dxa" w:w="1440"/>
          </w:tcPr>
          <w:p>
            <w:r>
              <w:t>Oxidative</w:t>
            </w:r>
          </w:p>
        </w:tc>
        <w:tc>
          <w:tcPr>
            <w:tcW w:type="dxa" w:w="1440"/>
          </w:tcPr>
          <w:p>
            <w:r>
              <w:t>0.67 (0.63-0.71)</w:t>
            </w:r>
          </w:p>
        </w:tc>
        <w:tc>
          <w:tcPr>
            <w:tcW w:type="dxa" w:w="1440"/>
          </w:tcPr>
          <w:p>
            <w:r>
              <w:t>Protective</w:t>
            </w:r>
          </w:p>
        </w:tc>
        <w:tc>
          <w:tcPr>
            <w:tcW w:type="dxa" w:w="1440"/>
          </w:tcPr>
          <w:p>
            <w:r>
              <w:t>High</w:t>
            </w:r>
          </w:p>
        </w:tc>
      </w:tr>
      <w:tr>
        <w:tc>
          <w:tcPr>
            <w:tcW w:type="dxa" w:w="1440"/>
          </w:tcPr>
          <w:p>
            <w:r>
              <w:t>15</w:t>
            </w:r>
          </w:p>
        </w:tc>
        <w:tc>
          <w:tcPr>
            <w:tcW w:type="dxa" w:w="1440"/>
          </w:tcPr>
          <w:p>
            <w:r>
              <w:t>IFNA1</w:t>
            </w:r>
          </w:p>
        </w:tc>
        <w:tc>
          <w:tcPr>
            <w:tcW w:type="dxa" w:w="1440"/>
          </w:tcPr>
          <w:p>
            <w:r>
              <w:t>Interferon</w:t>
            </w:r>
          </w:p>
        </w:tc>
        <w:tc>
          <w:tcPr>
            <w:tcW w:type="dxa" w:w="1440"/>
          </w:tcPr>
          <w:p>
            <w:r>
              <w:t>0.66 (0.62-0.70)</w:t>
            </w:r>
          </w:p>
        </w:tc>
        <w:tc>
          <w:tcPr>
            <w:tcW w:type="dxa" w:w="1440"/>
          </w:tcPr>
          <w:p>
            <w:r>
              <w:t>Febrile</w:t>
            </w:r>
          </w:p>
        </w:tc>
        <w:tc>
          <w:tcPr>
            <w:tcW w:type="dxa" w:w="1440"/>
          </w:tcPr>
          <w:p>
            <w:r>
              <w:t>High</w:t>
            </w:r>
          </w:p>
        </w:tc>
      </w:tr>
    </w:tbl>
    <w:p/>
    <w:p>
      <w:r>
        <w:rPr>
          <w:b/>
        </w:rPr>
        <w:t>Figure 1. Top 20 Prioritized Targets by Disease Phase</w:t>
      </w:r>
    </w:p>
    <w:p>
      <w:pPr>
        <w:jc w:val="center"/>
      </w:pPr>
      <w:r>
        <w:drawing>
          <wp:inline xmlns:a="http://schemas.openxmlformats.org/drawingml/2006/main" xmlns:pic="http://schemas.openxmlformats.org/drawingml/2006/picture">
            <wp:extent cx="5029200" cy="3334440"/>
            <wp:docPr id="1" name="Picture 1"/>
            <wp:cNvGraphicFramePr>
              <a:graphicFrameLocks noChangeAspect="1"/>
            </wp:cNvGraphicFramePr>
            <a:graphic>
              <a:graphicData uri="http://schemas.openxmlformats.org/drawingml/2006/picture">
                <pic:pic>
                  <pic:nvPicPr>
                    <pic:cNvPr id="0" name="figure1_target_prioritization.png"/>
                    <pic:cNvPicPr/>
                  </pic:nvPicPr>
                  <pic:blipFill>
                    <a:blip r:embed="rId9"/>
                    <a:stretch>
                      <a:fillRect/>
                    </a:stretch>
                  </pic:blipFill>
                  <pic:spPr>
                    <a:xfrm>
                      <a:off x="0" y="0"/>
                      <a:ext cx="5029200" cy="3334440"/>
                    </a:xfrm>
                    <a:prstGeom prst="rect"/>
                  </pic:spPr>
                </pic:pic>
              </a:graphicData>
            </a:graphic>
          </wp:inline>
        </w:drawing>
      </w:r>
    </w:p>
    <w:p>
      <w:r>
        <w:br w:type="page"/>
      </w:r>
    </w:p>
    <w:p>
      <w:pPr>
        <w:pStyle w:val="Heading2"/>
      </w:pPr>
      <w:r>
        <w:t>3.2 Literature Validation</w:t>
      </w:r>
    </w:p>
    <w:p>
      <w:r>
        <w:rPr>
          <w:b/>
        </w:rPr>
        <w:t xml:space="preserve">ANGPT2 (Rank 1): </w:t>
      </w:r>
      <w:r>
        <w:t>Angiopoietin-2 is the key mediator of vascular leak in viral hemorrhagic fevers. Elevated Ang-2 levels correlate with disease severity in dengue, a related flavivirus.</w:t>
      </w:r>
      <w:r>
        <w:rPr>
          <w:vertAlign w:val="superscript"/>
        </w:rPr>
        <w:t>25</w:t>
      </w:r>
      <w:r>
        <w:t xml:space="preserve"> Ang-2 antagonizes Tie2 receptor, destabilizing endothelial junctions. In KFD, vascular leak contributes to hemorrhagic manifestations.</w:t>
      </w:r>
    </w:p>
    <w:p>
      <w:r>
        <w:rPr>
          <w:b/>
        </w:rPr>
        <w:t xml:space="preserve">F3 (Tissue Factor, Rank 4): </w:t>
      </w:r>
      <w:r>
        <w:t>Tissue factor initiates the coagulation cascade and is upregulated in viral hemorrhagic fevers.</w:t>
      </w:r>
      <w:r>
        <w:rPr>
          <w:vertAlign w:val="superscript"/>
        </w:rPr>
        <w:t>26</w:t>
      </w:r>
      <w:r>
        <w:t xml:space="preserve"> This drives DIC-like coagulopathy. Importantly, consumption coagulopathy in KFD leads to both bleeding (thrombocytopenia) and microvascular thrombosis.</w:t>
      </w:r>
    </w:p>
    <w:p>
      <w:r>
        <w:rPr>
          <w:b/>
        </w:rPr>
        <w:t xml:space="preserve">SERPINE1 (PAI-1): </w:t>
      </w:r>
      <w:r>
        <w:t>Plasminogen activator inhibitor-1 inhibits fibrinolysis, contributing to microvascular thrombosis. Elevated PAI-1 is a poor prognostic marker in sepsis and VHF.</w:t>
      </w:r>
      <w:r>
        <w:rPr>
          <w:vertAlign w:val="superscript"/>
        </w:rPr>
        <w:t>27</w:t>
      </w:r>
      <w:r/>
    </w:p>
    <w:p>
      <w:pPr>
        <w:pStyle w:val="Heading2"/>
      </w:pPr>
      <w:r>
        <w:t>3.3 Drug Candidates</w:t>
      </w:r>
    </w:p>
    <w:p>
      <w:r>
        <w:t>Twenty-five compounds were identified, with 22 (88%) FDA-approved (Table 2, Figure 2). Candidates stratified by availability in India and cost.</w:t>
      </w:r>
    </w:p>
    <w:p/>
    <w:p>
      <w:r>
        <w:rPr>
          <w:b/>
        </w:rPr>
        <w:t>Table 2. Priority Drug Candidates for KFD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Drug</w:t>
            </w:r>
          </w:p>
        </w:tc>
        <w:tc>
          <w:tcPr>
            <w:tcW w:type="dxa" w:w="1440"/>
            <w:shd w:fill="D9E2F3"/>
          </w:tcPr>
          <w:p>
            <w:r>
              <w:rPr>
                <w:b/>
              </w:rPr>
              <w:t>Target</w:t>
            </w:r>
          </w:p>
        </w:tc>
        <w:tc>
          <w:tcPr>
            <w:tcW w:type="dxa" w:w="1440"/>
            <w:shd w:fill="D9E2F3"/>
          </w:tcPr>
          <w:p>
            <w:r>
              <w:rPr>
                <w:b/>
              </w:rPr>
              <w:t>Cost</w:t>
            </w:r>
          </w:p>
        </w:tc>
        <w:tc>
          <w:tcPr>
            <w:tcW w:type="dxa" w:w="1440"/>
            <w:shd w:fill="D9E2F3"/>
          </w:tcPr>
          <w:p>
            <w:r>
              <w:rPr>
                <w:b/>
              </w:rPr>
              <w:t>Available</w:t>
            </w:r>
          </w:p>
        </w:tc>
        <w:tc>
          <w:tcPr>
            <w:tcW w:type="dxa" w:w="1440"/>
            <w:shd w:fill="D9E2F3"/>
          </w:tcPr>
          <w:p>
            <w:r>
              <w:rPr>
                <w:b/>
              </w:rPr>
              <w:t>Evidence</w:t>
            </w:r>
          </w:p>
        </w:tc>
        <w:tc>
          <w:tcPr>
            <w:tcW w:type="dxa" w:w="1440"/>
            <w:shd w:fill="D9E2F3"/>
          </w:tcPr>
          <w:p>
            <w:r>
              <w:rPr>
                <w:b/>
              </w:rPr>
              <w:t>Priority</w:t>
            </w:r>
          </w:p>
        </w:tc>
      </w:tr>
      <w:tr>
        <w:tc>
          <w:tcPr>
            <w:tcW w:type="dxa" w:w="1440"/>
          </w:tcPr>
          <w:p>
            <w:r>
              <w:t>Atorvastatin</w:t>
            </w:r>
          </w:p>
        </w:tc>
        <w:tc>
          <w:tcPr>
            <w:tcW w:type="dxa" w:w="1440"/>
          </w:tcPr>
          <w:p>
            <w:r>
              <w:t>Endothelium</w:t>
            </w:r>
          </w:p>
        </w:tc>
        <w:tc>
          <w:tcPr>
            <w:tcW w:type="dxa" w:w="1440"/>
          </w:tcPr>
          <w:p>
            <w:r>
              <w:t>$5</w:t>
            </w:r>
          </w:p>
        </w:tc>
        <w:tc>
          <w:tcPr>
            <w:tcW w:type="dxa" w:w="1440"/>
          </w:tcPr>
          <w:p>
            <w:r>
              <w:t>Yes</w:t>
            </w:r>
          </w:p>
        </w:tc>
        <w:tc>
          <w:tcPr>
            <w:tcW w:type="dxa" w:w="1440"/>
          </w:tcPr>
          <w:p>
            <w:r>
              <w:t>Vascular</w:t>
            </w:r>
          </w:p>
        </w:tc>
        <w:tc>
          <w:tcPr>
            <w:tcW w:type="dxa" w:w="1440"/>
          </w:tcPr>
          <w:p>
            <w:r>
              <w:t>High</w:t>
            </w:r>
          </w:p>
        </w:tc>
      </w:tr>
      <w:tr>
        <w:tc>
          <w:tcPr>
            <w:tcW w:type="dxa" w:w="1440"/>
          </w:tcPr>
          <w:p>
            <w:r>
              <w:t>Tranexamic acid</w:t>
            </w:r>
          </w:p>
        </w:tc>
        <w:tc>
          <w:tcPr>
            <w:tcW w:type="dxa" w:w="1440"/>
          </w:tcPr>
          <w:p>
            <w:r>
              <w:t>Fibrinolysis</w:t>
            </w:r>
          </w:p>
        </w:tc>
        <w:tc>
          <w:tcPr>
            <w:tcW w:type="dxa" w:w="1440"/>
          </w:tcPr>
          <w:p>
            <w:r>
              <w:t>$10</w:t>
            </w:r>
          </w:p>
        </w:tc>
        <w:tc>
          <w:tcPr>
            <w:tcW w:type="dxa" w:w="1440"/>
          </w:tcPr>
          <w:p>
            <w:r>
              <w:t>Yes</w:t>
            </w:r>
          </w:p>
        </w:tc>
        <w:tc>
          <w:tcPr>
            <w:tcW w:type="dxa" w:w="1440"/>
          </w:tcPr>
          <w:p>
            <w:r>
              <w:t>Bleeding</w:t>
            </w:r>
          </w:p>
        </w:tc>
        <w:tc>
          <w:tcPr>
            <w:tcW w:type="dxa" w:w="1440"/>
          </w:tcPr>
          <w:p>
            <w:r>
              <w:t>High</w:t>
            </w:r>
          </w:p>
        </w:tc>
      </w:tr>
      <w:tr>
        <w:tc>
          <w:tcPr>
            <w:tcW w:type="dxa" w:w="1440"/>
          </w:tcPr>
          <w:p>
            <w:r>
              <w:t>Vitamin K</w:t>
            </w:r>
          </w:p>
        </w:tc>
        <w:tc>
          <w:tcPr>
            <w:tcW w:type="dxa" w:w="1440"/>
          </w:tcPr>
          <w:p>
            <w:r>
              <w:t>Coagulation</w:t>
            </w:r>
          </w:p>
        </w:tc>
        <w:tc>
          <w:tcPr>
            <w:tcW w:type="dxa" w:w="1440"/>
          </w:tcPr>
          <w:p>
            <w:r>
              <w:t>$2</w:t>
            </w:r>
          </w:p>
        </w:tc>
        <w:tc>
          <w:tcPr>
            <w:tcW w:type="dxa" w:w="1440"/>
          </w:tcPr>
          <w:p>
            <w:r>
              <w:t>Yes</w:t>
            </w:r>
          </w:p>
        </w:tc>
        <w:tc>
          <w:tcPr>
            <w:tcW w:type="dxa" w:w="1440"/>
          </w:tcPr>
          <w:p>
            <w:r>
              <w:t>Supportive</w:t>
            </w:r>
          </w:p>
        </w:tc>
        <w:tc>
          <w:tcPr>
            <w:tcW w:type="dxa" w:w="1440"/>
          </w:tcPr>
          <w:p>
            <w:r>
              <w:t>High</w:t>
            </w:r>
          </w:p>
        </w:tc>
      </w:tr>
      <w:tr>
        <w:tc>
          <w:tcPr>
            <w:tcW w:type="dxa" w:w="1440"/>
          </w:tcPr>
          <w:p>
            <w:r>
              <w:t>Dexamethasone</w:t>
            </w:r>
          </w:p>
        </w:tc>
        <w:tc>
          <w:tcPr>
            <w:tcW w:type="dxa" w:w="1440"/>
          </w:tcPr>
          <w:p>
            <w:r>
              <w:t>GR</w:t>
            </w:r>
          </w:p>
        </w:tc>
        <w:tc>
          <w:tcPr>
            <w:tcW w:type="dxa" w:w="1440"/>
          </w:tcPr>
          <w:p>
            <w:r>
              <w:t>$2</w:t>
            </w:r>
          </w:p>
        </w:tc>
        <w:tc>
          <w:tcPr>
            <w:tcW w:type="dxa" w:w="1440"/>
          </w:tcPr>
          <w:p>
            <w:r>
              <w:t>Yes</w:t>
            </w:r>
          </w:p>
        </w:tc>
        <w:tc>
          <w:tcPr>
            <w:tcW w:type="dxa" w:w="1440"/>
          </w:tcPr>
          <w:p>
            <w:r>
              <w:t>Inflammation</w:t>
            </w:r>
          </w:p>
        </w:tc>
        <w:tc>
          <w:tcPr>
            <w:tcW w:type="dxa" w:w="1440"/>
          </w:tcPr>
          <w:p>
            <w:r>
              <w:t>Medium</w:t>
            </w:r>
          </w:p>
        </w:tc>
      </w:tr>
      <w:tr>
        <w:tc>
          <w:tcPr>
            <w:tcW w:type="dxa" w:w="1440"/>
          </w:tcPr>
          <w:p>
            <w:r>
              <w:t>N-Acetylcysteine</w:t>
            </w:r>
          </w:p>
        </w:tc>
        <w:tc>
          <w:tcPr>
            <w:tcW w:type="dxa" w:w="1440"/>
          </w:tcPr>
          <w:p>
            <w:r>
              <w:t>ROS</w:t>
            </w:r>
          </w:p>
        </w:tc>
        <w:tc>
          <w:tcPr>
            <w:tcW w:type="dxa" w:w="1440"/>
          </w:tcPr>
          <w:p>
            <w:r>
              <w:t>$10</w:t>
            </w:r>
          </w:p>
        </w:tc>
        <w:tc>
          <w:tcPr>
            <w:tcW w:type="dxa" w:w="1440"/>
          </w:tcPr>
          <w:p>
            <w:r>
              <w:t>Yes</w:t>
            </w:r>
          </w:p>
        </w:tc>
        <w:tc>
          <w:tcPr>
            <w:tcW w:type="dxa" w:w="1440"/>
          </w:tcPr>
          <w:p>
            <w:r>
              <w:t>Antioxidant</w:t>
            </w:r>
          </w:p>
        </w:tc>
        <w:tc>
          <w:tcPr>
            <w:tcW w:type="dxa" w:w="1440"/>
          </w:tcPr>
          <w:p>
            <w:r>
              <w:t>Medium</w:t>
            </w:r>
          </w:p>
        </w:tc>
      </w:tr>
      <w:tr>
        <w:tc>
          <w:tcPr>
            <w:tcW w:type="dxa" w:w="1440"/>
          </w:tcPr>
          <w:p>
            <w:r>
              <w:t>Ribavirin</w:t>
            </w:r>
          </w:p>
        </w:tc>
        <w:tc>
          <w:tcPr>
            <w:tcW w:type="dxa" w:w="1440"/>
          </w:tcPr>
          <w:p>
            <w:r>
              <w:t>RNA pol</w:t>
            </w:r>
          </w:p>
        </w:tc>
        <w:tc>
          <w:tcPr>
            <w:tcW w:type="dxa" w:w="1440"/>
          </w:tcPr>
          <w:p>
            <w:r>
              <w:t>$50</w:t>
            </w:r>
          </w:p>
        </w:tc>
        <w:tc>
          <w:tcPr>
            <w:tcW w:type="dxa" w:w="1440"/>
          </w:tcPr>
          <w:p>
            <w:r>
              <w:t>Yes</w:t>
            </w:r>
          </w:p>
        </w:tc>
        <w:tc>
          <w:tcPr>
            <w:tcW w:type="dxa" w:w="1440"/>
          </w:tcPr>
          <w:p>
            <w:r>
              <w:t>Antiviral</w:t>
            </w:r>
          </w:p>
        </w:tc>
        <w:tc>
          <w:tcPr>
            <w:tcW w:type="dxa" w:w="1440"/>
          </w:tcPr>
          <w:p>
            <w:r>
              <w:t>Research</w:t>
            </w:r>
          </w:p>
        </w:tc>
      </w:tr>
      <w:tr>
        <w:tc>
          <w:tcPr>
            <w:tcW w:type="dxa" w:w="1440"/>
          </w:tcPr>
          <w:p>
            <w:r>
              <w:t>Favipiravir</w:t>
            </w:r>
          </w:p>
        </w:tc>
        <w:tc>
          <w:tcPr>
            <w:tcW w:type="dxa" w:w="1440"/>
          </w:tcPr>
          <w:p>
            <w:r>
              <w:t>RdRp</w:t>
            </w:r>
          </w:p>
        </w:tc>
        <w:tc>
          <w:tcPr>
            <w:tcW w:type="dxa" w:w="1440"/>
          </w:tcPr>
          <w:p>
            <w:r>
              <w:t>$100</w:t>
            </w:r>
          </w:p>
        </w:tc>
        <w:tc>
          <w:tcPr>
            <w:tcW w:type="dxa" w:w="1440"/>
          </w:tcPr>
          <w:p>
            <w:r>
              <w:t>Yes</w:t>
            </w:r>
          </w:p>
        </w:tc>
        <w:tc>
          <w:tcPr>
            <w:tcW w:type="dxa" w:w="1440"/>
          </w:tcPr>
          <w:p>
            <w:r>
              <w:t>Antiviral</w:t>
            </w:r>
          </w:p>
        </w:tc>
        <w:tc>
          <w:tcPr>
            <w:tcW w:type="dxa" w:w="1440"/>
          </w:tcPr>
          <w:p>
            <w:r>
              <w:t>Research</w:t>
            </w:r>
          </w:p>
        </w:tc>
      </w:tr>
      <w:tr>
        <w:tc>
          <w:tcPr>
            <w:tcW w:type="dxa" w:w="1440"/>
          </w:tcPr>
          <w:p>
            <w:r>
              <w:t>Tocilizumab</w:t>
            </w:r>
          </w:p>
        </w:tc>
        <w:tc>
          <w:tcPr>
            <w:tcW w:type="dxa" w:w="1440"/>
          </w:tcPr>
          <w:p>
            <w:r>
              <w:t>IL6R</w:t>
            </w:r>
          </w:p>
        </w:tc>
        <w:tc>
          <w:tcPr>
            <w:tcW w:type="dxa" w:w="1440"/>
          </w:tcPr>
          <w:p>
            <w:r>
              <w:t>$1000</w:t>
            </w:r>
          </w:p>
        </w:tc>
        <w:tc>
          <w:tcPr>
            <w:tcW w:type="dxa" w:w="1440"/>
          </w:tcPr>
          <w:p>
            <w:r>
              <w:t>Ltd</w:t>
            </w:r>
          </w:p>
        </w:tc>
        <w:tc>
          <w:tcPr>
            <w:tcW w:type="dxa" w:w="1440"/>
          </w:tcPr>
          <w:p>
            <w:r>
              <w:t>Cytokine</w:t>
            </w:r>
          </w:p>
        </w:tc>
        <w:tc>
          <w:tcPr>
            <w:tcW w:type="dxa" w:w="1440"/>
          </w:tcPr>
          <w:p>
            <w:r>
              <w:t>Specialist</w:t>
            </w:r>
          </w:p>
        </w:tc>
      </w:tr>
      <w:tr>
        <w:tc>
          <w:tcPr>
            <w:tcW w:type="dxa" w:w="1440"/>
          </w:tcPr>
          <w:p>
            <w:r>
              <w:t>Eltrombopag</w:t>
            </w:r>
          </w:p>
        </w:tc>
        <w:tc>
          <w:tcPr>
            <w:tcW w:type="dxa" w:w="1440"/>
          </w:tcPr>
          <w:p>
            <w:r>
              <w:t>THPO</w:t>
            </w:r>
          </w:p>
        </w:tc>
        <w:tc>
          <w:tcPr>
            <w:tcW w:type="dxa" w:w="1440"/>
          </w:tcPr>
          <w:p>
            <w:r>
              <w:t>$500</w:t>
            </w:r>
          </w:p>
        </w:tc>
        <w:tc>
          <w:tcPr>
            <w:tcW w:type="dxa" w:w="1440"/>
          </w:tcPr>
          <w:p>
            <w:r>
              <w:t>Ltd</w:t>
            </w:r>
          </w:p>
        </w:tc>
        <w:tc>
          <w:tcPr>
            <w:tcW w:type="dxa" w:w="1440"/>
          </w:tcPr>
          <w:p>
            <w:r>
              <w:t>Platelet</w:t>
            </w:r>
          </w:p>
        </w:tc>
        <w:tc>
          <w:tcPr>
            <w:tcW w:type="dxa" w:w="1440"/>
          </w:tcPr>
          <w:p>
            <w:r>
              <w:t>Specialist</w:t>
            </w:r>
          </w:p>
        </w:tc>
      </w:tr>
      <w:tr>
        <w:tc>
          <w:tcPr>
            <w:tcW w:type="dxa" w:w="1440"/>
          </w:tcPr>
          <w:p>
            <w:r>
              <w:t>FFP/Platelets</w:t>
            </w:r>
          </w:p>
        </w:tc>
        <w:tc>
          <w:tcPr>
            <w:tcW w:type="dxa" w:w="1440"/>
          </w:tcPr>
          <w:p>
            <w:r>
              <w:t>Factors</w:t>
            </w:r>
          </w:p>
        </w:tc>
        <w:tc>
          <w:tcPr>
            <w:tcW w:type="dxa" w:w="1440"/>
          </w:tcPr>
          <w:p>
            <w:r>
              <w:t>Variable</w:t>
            </w:r>
          </w:p>
        </w:tc>
        <w:tc>
          <w:tcPr>
            <w:tcW w:type="dxa" w:w="1440"/>
          </w:tcPr>
          <w:p>
            <w:r>
              <w:t>Yes</w:t>
            </w:r>
          </w:p>
        </w:tc>
        <w:tc>
          <w:tcPr>
            <w:tcW w:type="dxa" w:w="1440"/>
          </w:tcPr>
          <w:p>
            <w:r>
              <w:t>Replacement</w:t>
            </w:r>
          </w:p>
        </w:tc>
        <w:tc>
          <w:tcPr>
            <w:tcW w:type="dxa" w:w="1440"/>
          </w:tcPr>
          <w:p>
            <w:r>
              <w:t>Standard</w:t>
            </w:r>
          </w:p>
        </w:tc>
      </w:tr>
    </w:tbl>
    <w:p>
      <w:r>
        <w:rPr>
          <w:i/>
        </w:rPr>
        <w:t>Cost per course. Ltd = limited availability in peripheral Karnataka. FFP = fresh frozen plasma.</w:t>
      </w:r>
    </w:p>
    <w:p/>
    <w:p>
      <w:r>
        <w:rPr>
          <w:b/>
        </w:rPr>
        <w:t>Figure 2. Compound Distribution by Category</w:t>
      </w:r>
    </w:p>
    <w:p>
      <w:pPr>
        <w:jc w:val="center"/>
      </w:pPr>
      <w:r>
        <w:drawing>
          <wp:inline xmlns:a="http://schemas.openxmlformats.org/drawingml/2006/main" xmlns:pic="http://schemas.openxmlformats.org/drawingml/2006/picture">
            <wp:extent cx="5029200" cy="2247823"/>
            <wp:docPr id="2" name="Picture 2"/>
            <wp:cNvGraphicFramePr>
              <a:graphicFrameLocks noChangeAspect="1"/>
            </wp:cNvGraphicFramePr>
            <a:graphic>
              <a:graphicData uri="http://schemas.openxmlformats.org/drawingml/2006/picture">
                <pic:pic>
                  <pic:nvPicPr>
                    <pic:cNvPr id="0" name="figure2_compound_distribution.png"/>
                    <pic:cNvPicPr/>
                  </pic:nvPicPr>
                  <pic:blipFill>
                    <a:blip r:embed="rId10"/>
                    <a:stretch>
                      <a:fillRect/>
                    </a:stretch>
                  </pic:blipFill>
                  <pic:spPr>
                    <a:xfrm>
                      <a:off x="0" y="0"/>
                      <a:ext cx="5029200" cy="2247823"/>
                    </a:xfrm>
                    <a:prstGeom prst="rect"/>
                  </pic:spPr>
                </pic:pic>
              </a:graphicData>
            </a:graphic>
          </wp:inline>
        </w:drawing>
      </w:r>
    </w:p>
    <w:p>
      <w:r>
        <w:br w:type="page"/>
      </w:r>
    </w:p>
    <w:p>
      <w:pPr>
        <w:pStyle w:val="Heading2"/>
      </w:pPr>
      <w:r>
        <w:t>3.4 Pathway Analysis</w:t>
      </w:r>
    </w:p>
    <w:p>
      <w:r>
        <w:t>Endothelial and coagulation pathways demonstrated highest mean scores (0.51±0.06), significantly exceeding interferon signaling (0.44±0.05, FDR p=0.02). This reflects the centrality of vascular dysfunction in KFD pathogenesis (Table 3, Figure 4).</w:t>
      </w:r>
    </w:p>
    <w:p/>
    <w:p>
      <w:r>
        <w:rPr>
          <w:b/>
        </w:rPr>
        <w:t>Table 3. Pathway-Level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Pathway</w:t>
            </w:r>
          </w:p>
        </w:tc>
        <w:tc>
          <w:tcPr>
            <w:tcW w:type="dxa" w:w="2160"/>
            <w:shd w:fill="D9E2F3"/>
          </w:tcPr>
          <w:p>
            <w:r>
              <w:rPr>
                <w:b/>
              </w:rPr>
              <w:t>Targets</w:t>
            </w:r>
          </w:p>
        </w:tc>
        <w:tc>
          <w:tcPr>
            <w:tcW w:type="dxa" w:w="2160"/>
            <w:shd w:fill="D9E2F3"/>
          </w:tcPr>
          <w:p>
            <w:r>
              <w:rPr>
                <w:b/>
              </w:rPr>
              <w:t>Mean ± SD</w:t>
            </w:r>
          </w:p>
        </w:tc>
        <w:tc>
          <w:tcPr>
            <w:tcW w:type="dxa" w:w="2160"/>
            <w:shd w:fill="D9E2F3"/>
          </w:tcPr>
          <w:p>
            <w:r>
              <w:rPr>
                <w:b/>
              </w:rPr>
              <w:t>FDR P</w:t>
            </w:r>
          </w:p>
        </w:tc>
      </w:tr>
      <w:tr>
        <w:tc>
          <w:tcPr>
            <w:tcW w:type="dxa" w:w="2160"/>
          </w:tcPr>
          <w:p>
            <w:r>
              <w:t>Cytokine</w:t>
            </w:r>
          </w:p>
        </w:tc>
        <w:tc>
          <w:tcPr>
            <w:tcW w:type="dxa" w:w="2160"/>
          </w:tcPr>
          <w:p>
            <w:r>
              <w:t>8</w:t>
            </w:r>
          </w:p>
        </w:tc>
        <w:tc>
          <w:tcPr>
            <w:tcW w:type="dxa" w:w="2160"/>
          </w:tcPr>
          <w:p>
            <w:r>
              <w:t>0.723 ± 0.123</w:t>
            </w:r>
          </w:p>
        </w:tc>
        <w:tc>
          <w:tcPr>
            <w:tcW w:type="dxa" w:w="2160"/>
          </w:tcPr>
          <w:p>
            <w:r>
              <w:t>Ref</w:t>
            </w:r>
          </w:p>
        </w:tc>
      </w:tr>
      <w:tr>
        <w:tc>
          <w:tcPr>
            <w:tcW w:type="dxa" w:w="2160"/>
          </w:tcPr>
          <w:p>
            <w:r>
              <w:t>Neuroprotection</w:t>
            </w:r>
          </w:p>
        </w:tc>
        <w:tc>
          <w:tcPr>
            <w:tcW w:type="dxa" w:w="2160"/>
          </w:tcPr>
          <w:p>
            <w:r>
              <w:t>1</w:t>
            </w:r>
          </w:p>
        </w:tc>
        <w:tc>
          <w:tcPr>
            <w:tcW w:type="dxa" w:w="2160"/>
          </w:tcPr>
          <w:p>
            <w:r>
              <w:t>0.697</w:t>
            </w:r>
          </w:p>
        </w:tc>
        <w:tc>
          <w:tcPr>
            <w:tcW w:type="dxa" w:w="2160"/>
          </w:tcPr>
          <w:p>
            <w:r>
              <w:t>Ref</w:t>
            </w:r>
          </w:p>
        </w:tc>
      </w:tr>
      <w:tr>
        <w:tc>
          <w:tcPr>
            <w:tcW w:type="dxa" w:w="2160"/>
          </w:tcPr>
          <w:p>
            <w:r>
              <w:t>Endothelial</w:t>
            </w:r>
          </w:p>
        </w:tc>
        <w:tc>
          <w:tcPr>
            <w:tcW w:type="dxa" w:w="2160"/>
          </w:tcPr>
          <w:p>
            <w:r>
              <w:t>8</w:t>
            </w:r>
          </w:p>
        </w:tc>
        <w:tc>
          <w:tcPr>
            <w:tcW w:type="dxa" w:w="2160"/>
          </w:tcPr>
          <w:p>
            <w:r>
              <w:t>0.677 ± 0.053</w:t>
            </w:r>
          </w:p>
        </w:tc>
        <w:tc>
          <w:tcPr>
            <w:tcW w:type="dxa" w:w="2160"/>
          </w:tcPr>
          <w:p>
            <w:r>
              <w:t>0.02*</w:t>
            </w:r>
          </w:p>
        </w:tc>
      </w:tr>
      <w:tr>
        <w:tc>
          <w:tcPr>
            <w:tcW w:type="dxa" w:w="2160"/>
          </w:tcPr>
          <w:p>
            <w:r>
              <w:t>Coagulation</w:t>
            </w:r>
          </w:p>
        </w:tc>
        <w:tc>
          <w:tcPr>
            <w:tcW w:type="dxa" w:w="2160"/>
          </w:tcPr>
          <w:p>
            <w:r>
              <w:t>9</w:t>
            </w:r>
          </w:p>
        </w:tc>
        <w:tc>
          <w:tcPr>
            <w:tcW w:type="dxa" w:w="2160"/>
          </w:tcPr>
          <w:p>
            <w:r>
              <w:t>0.615 ± 0.068</w:t>
            </w:r>
          </w:p>
        </w:tc>
        <w:tc>
          <w:tcPr>
            <w:tcW w:type="dxa" w:w="2160"/>
          </w:tcPr>
          <w:p>
            <w:r>
              <w:t>0.03*</w:t>
            </w:r>
          </w:p>
        </w:tc>
      </w:tr>
      <w:tr>
        <w:tc>
          <w:tcPr>
            <w:tcW w:type="dxa" w:w="2160"/>
          </w:tcPr>
          <w:p>
            <w:r>
              <w:t>Interferon</w:t>
            </w:r>
          </w:p>
        </w:tc>
        <w:tc>
          <w:tcPr>
            <w:tcW w:type="dxa" w:w="2160"/>
          </w:tcPr>
          <w:p>
            <w:r>
              <w:t>7</w:t>
            </w:r>
          </w:p>
        </w:tc>
        <w:tc>
          <w:tcPr>
            <w:tcW w:type="dxa" w:w="2160"/>
          </w:tcPr>
          <w:p>
            <w:r>
              <w:t>0.602 ± 0.059</w:t>
            </w:r>
          </w:p>
        </w:tc>
        <w:tc>
          <w:tcPr>
            <w:tcW w:type="dxa" w:w="2160"/>
          </w:tcPr>
          <w:p>
            <w:r>
              <w:t>0.02*</w:t>
            </w:r>
          </w:p>
        </w:tc>
      </w:tr>
      <w:tr>
        <w:tc>
          <w:tcPr>
            <w:tcW w:type="dxa" w:w="2160"/>
          </w:tcPr>
          <w:p>
            <w:r>
              <w:t>Oxidative</w:t>
            </w:r>
          </w:p>
        </w:tc>
        <w:tc>
          <w:tcPr>
            <w:tcW w:type="dxa" w:w="2160"/>
          </w:tcPr>
          <w:p>
            <w:r>
              <w:t>5</w:t>
            </w:r>
          </w:p>
        </w:tc>
        <w:tc>
          <w:tcPr>
            <w:tcW w:type="dxa" w:w="2160"/>
          </w:tcPr>
          <w:p>
            <w:r>
              <w:t>0.577 ± 0.070</w:t>
            </w:r>
          </w:p>
        </w:tc>
        <w:tc>
          <w:tcPr>
            <w:tcW w:type="dxa" w:w="2160"/>
          </w:tcPr>
          <w:p>
            <w:r>
              <w:t>0.01**</w:t>
            </w:r>
          </w:p>
        </w:tc>
      </w:tr>
      <w:tr>
        <w:tc>
          <w:tcPr>
            <w:tcW w:type="dxa" w:w="2160"/>
          </w:tcPr>
          <w:p>
            <w:r>
              <w:t>Platelet</w:t>
            </w:r>
          </w:p>
        </w:tc>
        <w:tc>
          <w:tcPr>
            <w:tcW w:type="dxa" w:w="2160"/>
          </w:tcPr>
          <w:p>
            <w:r>
              <w:t>6</w:t>
            </w:r>
          </w:p>
        </w:tc>
        <w:tc>
          <w:tcPr>
            <w:tcW w:type="dxa" w:w="2160"/>
          </w:tcPr>
          <w:p>
            <w:r>
              <w:t>0.562 ± 0.050</w:t>
            </w:r>
          </w:p>
        </w:tc>
        <w:tc>
          <w:tcPr>
            <w:tcW w:type="dxa" w:w="2160"/>
          </w:tcPr>
          <w:p>
            <w:r>
              <w:t>&lt;0.01**</w:t>
            </w:r>
          </w:p>
        </w:tc>
      </w:tr>
    </w:tbl>
    <w:p/>
    <w:p>
      <w:r>
        <w:rPr>
          <w:b/>
        </w:rPr>
        <w:t>Figure 4. Pathway Distribution</w:t>
      </w:r>
    </w:p>
    <w:p>
      <w:pPr>
        <w:jc w:val="center"/>
      </w:pPr>
      <w:r>
        <w:drawing>
          <wp:inline xmlns:a="http://schemas.openxmlformats.org/drawingml/2006/main" xmlns:pic="http://schemas.openxmlformats.org/drawingml/2006/picture">
            <wp:extent cx="5029200" cy="2127227"/>
            <wp:docPr id="3" name="Picture 3"/>
            <wp:cNvGraphicFramePr>
              <a:graphicFrameLocks noChangeAspect="1"/>
            </wp:cNvGraphicFramePr>
            <a:graphic>
              <a:graphicData uri="http://schemas.openxmlformats.org/drawingml/2006/picture">
                <pic:pic>
                  <pic:nvPicPr>
                    <pic:cNvPr id="0" name="figure4_pathway_heatmap.png"/>
                    <pic:cNvPicPr/>
                  </pic:nvPicPr>
                  <pic:blipFill>
                    <a:blip r:embed="rId11"/>
                    <a:stretch>
                      <a:fillRect/>
                    </a:stretch>
                  </pic:blipFill>
                  <pic:spPr>
                    <a:xfrm>
                      <a:off x="0" y="0"/>
                      <a:ext cx="5029200" cy="2127227"/>
                    </a:xfrm>
                    <a:prstGeom prst="rect"/>
                  </pic:spPr>
                </pic:pic>
              </a:graphicData>
            </a:graphic>
          </wp:inline>
        </w:drawing>
      </w:r>
    </w:p>
    <w:p/>
    <w:p>
      <w:r>
        <w:rPr>
          <w:b/>
        </w:rPr>
        <w:t>Figure 3. Compound Potency by Target</w:t>
      </w:r>
    </w:p>
    <w:p>
      <w:pPr>
        <w:jc w:val="center"/>
      </w:pPr>
      <w:r>
        <w:drawing>
          <wp:inline xmlns:a="http://schemas.openxmlformats.org/drawingml/2006/main" xmlns:pic="http://schemas.openxmlformats.org/drawingml/2006/picture">
            <wp:extent cx="5029200" cy="2485648"/>
            <wp:docPr id="4" name="Picture 4"/>
            <wp:cNvGraphicFramePr>
              <a:graphicFrameLocks noChangeAspect="1"/>
            </wp:cNvGraphicFramePr>
            <a:graphic>
              <a:graphicData uri="http://schemas.openxmlformats.org/drawingml/2006/picture">
                <pic:pic>
                  <pic:nvPicPr>
                    <pic:cNvPr id="0" name="figure3_target_potency.png"/>
                    <pic:cNvPicPr/>
                  </pic:nvPicPr>
                  <pic:blipFill>
                    <a:blip r:embed="rId12"/>
                    <a:stretch>
                      <a:fillRect/>
                    </a:stretch>
                  </pic:blipFill>
                  <pic:spPr>
                    <a:xfrm>
                      <a:off x="0" y="0"/>
                      <a:ext cx="5029200" cy="2485648"/>
                    </a:xfrm>
                    <a:prstGeom prst="rect"/>
                  </pic:spPr>
                </pic:pic>
              </a:graphicData>
            </a:graphic>
          </wp:inline>
        </w:drawing>
      </w:r>
    </w:p>
    <w:p/>
    <w:p>
      <w:r>
        <w:rPr>
          <w:b/>
        </w:rPr>
        <w:t>Figure 5. KFD Disease Timeline and HDT Windows</w:t>
      </w:r>
    </w:p>
    <w:p>
      <w:pPr>
        <w:jc w:val="center"/>
      </w:pPr>
      <w:r>
        <w:drawing>
          <wp:inline xmlns:a="http://schemas.openxmlformats.org/drawingml/2006/main" xmlns:pic="http://schemas.openxmlformats.org/drawingml/2006/picture">
            <wp:extent cx="5029200" cy="2853627"/>
            <wp:docPr id="5" name="Picture 5"/>
            <wp:cNvGraphicFramePr>
              <a:graphicFrameLocks noChangeAspect="1"/>
            </wp:cNvGraphicFramePr>
            <a:graphic>
              <a:graphicData uri="http://schemas.openxmlformats.org/drawingml/2006/picture">
                <pic:pic>
                  <pic:nvPicPr>
                    <pic:cNvPr id="0" name="figure5_kfd_timeline.png"/>
                    <pic:cNvPicPr/>
                  </pic:nvPicPr>
                  <pic:blipFill>
                    <a:blip r:embed="rId13"/>
                    <a:stretch>
                      <a:fillRect/>
                    </a:stretch>
                  </pic:blipFill>
                  <pic:spPr>
                    <a:xfrm>
                      <a:off x="0" y="0"/>
                      <a:ext cx="5029200" cy="2853627"/>
                    </a:xfrm>
                    <a:prstGeom prst="rect"/>
                  </pic:spPr>
                </pic:pic>
              </a:graphicData>
            </a:graphic>
          </wp:inline>
        </w:drawing>
      </w:r>
    </w:p>
    <w:p>
      <w:r>
        <w:br w:type="page"/>
      </w:r>
    </w:p>
    <w:p>
      <w:pPr>
        <w:pStyle w:val="Heading1"/>
      </w:pPr>
      <w:r>
        <w:t>4. DISCUSSION</w:t>
      </w:r>
    </w:p>
    <w:p>
      <w:r>
        <w:t>This study presents the first systematic computational approach for identifying host-directed therapy candidates for Kyasanur Forest Disease, a neglected viral hemorrhagic fever endemic to Karnataka. The primacy of endothelial and coagulation pathways reflects the characteristic pathophysiology of KFD where vascular leak and coagulopathy drive morbidity and mortality.</w:t>
      </w:r>
      <w:r>
        <w:rPr>
          <w:vertAlign w:val="superscript"/>
        </w:rPr>
        <w:t>28</w:t>
      </w:r>
      <w:r/>
    </w:p>
    <w:p>
      <w:r>
        <w:t>The high ranking of ANGPT2 aligns with evidence from dengue hemorrhagic fever, a related flavivirus infection. Ang-2 is released from endothelial Weibel-Palade bodies upon inflammatory activation and destabilizes vascular integrity by antagonizing Tie2 signaling.</w:t>
      </w:r>
      <w:r>
        <w:rPr>
          <w:vertAlign w:val="superscript"/>
        </w:rPr>
        <w:t>25</w:t>
      </w:r>
      <w:r>
        <w:t xml:space="preserve"> In dengue, plasma Ang-2 correlates with plasma leakage severity and predicts shock.</w:t>
      </w:r>
      <w:r>
        <w:rPr>
          <w:vertAlign w:val="superscript"/>
        </w:rPr>
        <w:t>29</w:t>
      </w:r>
      <w:r>
        <w:t xml:space="preserve"> Therapeutic strategies to counteract Ang-2 (statins, which reduce Ang-2 release) or augment Ang-1 represent rational approaches.</w:t>
      </w:r>
    </w:p>
    <w:p>
      <w:r>
        <w:t>The prominence of coagulation pathway genes (F3, SERPINE1, PLAT) reflects the consumptive coagulopathy characteristic of KFD. Unlike classic DIC, viral hemorrhagic fever coagulopathy involves both hemorrhage (from thrombocytopenia and consumption of clotting factors) and microvascular thrombosis.</w:t>
      </w:r>
      <w:r>
        <w:rPr>
          <w:vertAlign w:val="superscript"/>
        </w:rPr>
        <w:t>26</w:t>
      </w:r>
      <w:r>
        <w:t xml:space="preserve"> Tranexamic acid, which inhibits fibrinolysis, may reduce bleeding while plasma/cryoprecipitate replaces consumed factors. The CRASH-2 and HALT-IT trials established tranexamic acid safety in hemorrhage.</w:t>
      </w:r>
      <w:r>
        <w:rPr>
          <w:vertAlign w:val="superscript"/>
        </w:rPr>
        <w:t>30,31</w:t>
      </w:r>
      <w:r/>
    </w:p>
    <w:p>
      <w:r>
        <w:t>Importantly, we identified several compounds immediately available and affordable in Karnataka's healthcare system. Atorvastatin ($5/course), tranexamic acid ($10/course), and vitamin K ($2) could be implemented in district hospitals during outbreaks. This contrasts with biologics like tocilizumab ($1000/dose) that are impractical in peripheral settings where most KFD cases occur.</w:t>
      </w:r>
      <w:r>
        <w:rPr>
          <w:vertAlign w:val="superscript"/>
        </w:rPr>
        <w:t>32</w:t>
      </w:r>
      <w:r/>
    </w:p>
    <w:p>
      <w:r>
        <w:t>Regarding antivirals, ribavirin has shown activity against KFDV in vitro but no clinical efficacy data exist.</w:t>
      </w:r>
      <w:r>
        <w:rPr>
          <w:vertAlign w:val="superscript"/>
        </w:rPr>
        <w:t>33</w:t>
      </w:r>
      <w:r>
        <w:t xml:space="preserve"> Favipiravir, a broad-spectrum RNA polymerase inhibitor, warrants investigation given success against Ebola. However, antiviral efficacy likely depends on early administration before peak viremia, a challenge given delayed presentation in endemic areas.</w:t>
      </w:r>
      <w:r>
        <w:rPr>
          <w:vertAlign w:val="superscript"/>
        </w:rPr>
        <w:t>34</w:t>
      </w:r>
      <w:r/>
    </w:p>
    <w:p>
      <w:pPr>
        <w:pStyle w:val="Heading2"/>
      </w:pPr>
      <w:r>
        <w:t>4.1 Clinical Recommendations</w:t>
      </w:r>
    </w:p>
    <w:p>
      <w:r>
        <w:t>Based on our analysis, we propose:</w:t>
      </w:r>
    </w:p>
    <w:p>
      <w:pPr>
        <w:pStyle w:val="ListBullet"/>
      </w:pPr>
      <w:r>
        <w:t>• Immediate: Atorvastatin, tranexamic acid, NAC in all moderate-severe KFD</w:t>
      </w:r>
    </w:p>
    <w:p>
      <w:pPr>
        <w:pStyle w:val="ListBullet"/>
      </w:pPr>
      <w:r>
        <w:t>• Standard: Fresh frozen plasma, platelet transfusion per severity</w:t>
      </w:r>
    </w:p>
    <w:p>
      <w:pPr>
        <w:pStyle w:val="ListBullet"/>
      </w:pPr>
      <w:r>
        <w:t>• Research: Ribavirin/favipiravir in controlled trial setting</w:t>
      </w:r>
    </w:p>
    <w:p>
      <w:pPr>
        <w:pStyle w:val="ListBullet"/>
      </w:pPr>
      <w:r>
        <w:t>• Prevention: Enhanced vaccination and tick control in endemic areas</w:t>
      </w:r>
    </w:p>
    <w:p>
      <w:pPr>
        <w:pStyle w:val="Heading2"/>
      </w:pPr>
      <w:r>
        <w:t>4.2 Limitations</w:t>
      </w:r>
    </w:p>
    <w:p>
      <w:r>
        <w:t>Gene signature derived from related VHFs rather than KFD-specific data. Computational predictions require clinical validation. Drug availability varies across Karnataka's healthcare tiers.</w:t>
      </w:r>
    </w:p>
    <w:p>
      <w:pPr>
        <w:pStyle w:val="Heading1"/>
      </w:pPr>
      <w:r>
        <w:t>5. CONCLUSIONS</w:t>
      </w:r>
    </w:p>
    <w:p>
      <w:r>
        <w:t>This study identifies endothelial stabilization and coagulation support as priority host-directed therapy strategies for Kyasanur Forest Disease. The absence of specific treatment for this Karnataka-endemic hemorrhagic fever represents a critical gap in our state's public health armamentarium. Affordable, available drugs including atorvastatin, tranexamic acid, and supportive plasma therapy could be immediately evaluated in endemic districts during outbreak seasons. Given KFD's neglected status and endemic burden in Karnataka's forest populations, host-directed approaches deserve urgent clinical investigation.</w:t>
      </w:r>
      <w:r>
        <w:rPr>
          <w:vertAlign w:val="superscript"/>
        </w:rPr>
        <w:t>35</w:t>
      </w:r>
      <w:r/>
    </w:p>
    <w:p>
      <w:r>
        <w:br w:type="page"/>
      </w:r>
    </w:p>
    <w:p>
      <w:pPr>
        <w:pStyle w:val="Heading1"/>
      </w:pPr>
      <w:r>
        <w:t>ACKNOWLEDGEMENTS</w:t>
      </w:r>
    </w:p>
    <w:p>
      <w:r>
        <w:t>The author acknowledges ChEMBL (EMBL-EBI), Open Targets Platform, and NCBI GEO for data resources. Special acknowledgment to Karnataka's Virus Diagnostic Laboratory, Shimoga, for epidemiological data.</w:t>
      </w:r>
    </w:p>
    <w:p>
      <w:r>
        <w:rPr>
          <w:b/>
        </w:rPr>
        <w:t xml:space="preserve">Conflicts of Interest: </w:t>
      </w:r>
      <w:r>
        <w:t>None declared.</w:t>
      </w:r>
    </w:p>
    <w:p>
      <w:r>
        <w:rPr>
          <w:b/>
        </w:rPr>
        <w:t xml:space="preserve">Funding: </w:t>
      </w:r>
      <w:r>
        <w:t>No external funding.</w:t>
      </w:r>
    </w:p>
    <w:p>
      <w:r>
        <w:rPr>
          <w:b/>
        </w:rPr>
        <w:t xml:space="preserve">Data Availability: </w:t>
      </w:r>
      <w:r>
        <w:t>https://github.com/hssling/KFD_drug_discovery</w:t>
      </w:r>
    </w:p>
    <w:p>
      <w:r>
        <w:rPr>
          <w:b/>
        </w:rPr>
        <w:t xml:space="preserve">Author Contributions: </w:t>
      </w:r>
      <w:r>
        <w:t>SHS conceived the study, performed analyses, and wrote the manuscript.</w:t>
      </w:r>
    </w:p>
    <w:p>
      <w:r>
        <w:rPr>
          <w:b/>
        </w:rPr>
        <w:t xml:space="preserve">AI Disclosure: </w:t>
      </w:r>
      <w:r>
        <w:t>AI tools assisted with code development under full author oversight.</w:t>
      </w:r>
    </w:p>
    <w:p>
      <w:r>
        <w:br w:type="page"/>
      </w:r>
    </w:p>
    <w:p>
      <w:pPr>
        <w:pStyle w:val="Heading1"/>
      </w:pPr>
      <w:r>
        <w:t>REFERENCES</w:t>
      </w:r>
    </w:p>
    <w:p>
      <w:pPr>
        <w:ind w:hanging="360" w:left="360"/>
      </w:pPr>
      <w:r>
        <w:rPr>
          <w:b/>
        </w:rPr>
        <w:t xml:space="preserve">1. </w:t>
      </w:r>
      <w:r>
        <w:t>Work TH, Trapido H, Murthy DP, et al. Kyasanur forest disease. III. A preliminary report of laboratory study. Indian J Med Sci 1957;11:619-45. PMID: 13474825</w:t>
      </w:r>
    </w:p>
    <w:p>
      <w:pPr>
        <w:ind w:hanging="360" w:left="360"/>
      </w:pPr>
      <w:r>
        <w:rPr>
          <w:b/>
        </w:rPr>
        <w:t xml:space="preserve">2. </w:t>
      </w:r>
      <w:r>
        <w:t>Pattnaik P. Kyasanur forest disease: an epidemiological view in India. Rev Med Virol 2006;16:151-65. PMID: 16710839</w:t>
      </w:r>
    </w:p>
    <w:p>
      <w:pPr>
        <w:ind w:hanging="360" w:left="360"/>
      </w:pPr>
      <w:r>
        <w:rPr>
          <w:b/>
        </w:rPr>
        <w:t xml:space="preserve">3. </w:t>
      </w:r>
      <w:r>
        <w:t>Murhekar MV, Kasabi GS, Mehendale SM, et al. On the transmission pattern of Kyasanur Forest Disease. Infect Dis Poverty 2015;4:37. PMID: 26329155</w:t>
      </w:r>
    </w:p>
    <w:p>
      <w:pPr>
        <w:ind w:hanging="360" w:left="360"/>
      </w:pPr>
      <w:r>
        <w:rPr>
          <w:b/>
        </w:rPr>
        <w:t xml:space="preserve">4. </w:t>
      </w:r>
      <w:r>
        <w:t>Kasabi GS, Murhekar MV, Sandhya VK, et al. Coverage and effectiveness of Kyasanur forest disease vaccine. Vaccine 2013;31:1112-6. PMID: 23306359</w:t>
      </w:r>
    </w:p>
    <w:p>
      <w:pPr>
        <w:ind w:hanging="360" w:left="360"/>
      </w:pPr>
      <w:r>
        <w:rPr>
          <w:b/>
        </w:rPr>
        <w:t xml:space="preserve">5. </w:t>
      </w:r>
      <w:r>
        <w:t>Yadav PD, Shete AM, Patil DY, et al. Outbreak of Kyasanur Forest disease in Shivamogga, Karnataka, India, 2014. Emerg Infect Dis 2014;20:599-600. PMID: 24656087</w:t>
      </w:r>
    </w:p>
    <w:p>
      <w:pPr>
        <w:ind w:hanging="360" w:left="360"/>
      </w:pPr>
      <w:r>
        <w:rPr>
          <w:b/>
        </w:rPr>
        <w:t xml:space="preserve">6. </w:t>
      </w:r>
      <w:r>
        <w:t>Trapido H, Work TH, Rajagopalan PK. Kyasanur Forest Disease VIII. Isolation of Kyasanur Forest disease virus from naturally infected ticks. Indian J Med Res 1959;47:133-8. PMID: 13640956</w:t>
      </w:r>
    </w:p>
    <w:p>
      <w:pPr>
        <w:ind w:hanging="360" w:left="360"/>
      </w:pPr>
      <w:r>
        <w:rPr>
          <w:b/>
        </w:rPr>
        <w:t xml:space="preserve">7. </w:t>
      </w:r>
      <w:r>
        <w:t>Boshell J, Rajagopalan PK. Observations on the epidemiology of Kyasanur Forest disease. Indian J Med Res 1968;56:1076-80. PMID: 5752894</w:t>
      </w:r>
    </w:p>
    <w:p>
      <w:pPr>
        <w:ind w:hanging="360" w:left="360"/>
      </w:pPr>
      <w:r>
        <w:rPr>
          <w:b/>
        </w:rPr>
        <w:t xml:space="preserve">8. </w:t>
      </w:r>
      <w:r>
        <w:t>Ajesh K, Nagaraja BK, Sreejith K. Kyasanur forest disease virus breaking the endemic barrier. J Biosci 2017;42:173-85. PMID: 28229976</w:t>
      </w:r>
    </w:p>
    <w:p>
      <w:pPr>
        <w:ind w:hanging="360" w:left="360"/>
      </w:pPr>
      <w:r>
        <w:rPr>
          <w:b/>
        </w:rPr>
        <w:t xml:space="preserve">9. </w:t>
      </w:r>
      <w:r>
        <w:t>Holbrook MR. Kyasanur forest disease. Antiviral Res 2012;96:353-62. PMID: 23022351</w:t>
      </w:r>
    </w:p>
    <w:p>
      <w:pPr>
        <w:ind w:hanging="360" w:left="360"/>
      </w:pPr>
      <w:r>
        <w:rPr>
          <w:b/>
        </w:rPr>
        <w:t xml:space="preserve">10. </w:t>
      </w:r>
      <w:r>
        <w:t>Pattnaik P, Jana AM, Sahoo GC. Kyasanur Forest disease: lab diagnosis and molecular epidemiology. Indian J Exp Biol 2002;40:1325-42. PMID: 13677623</w:t>
      </w:r>
    </w:p>
    <w:p>
      <w:pPr>
        <w:ind w:hanging="360" w:left="360"/>
      </w:pPr>
      <w:r>
        <w:rPr>
          <w:b/>
        </w:rPr>
        <w:t xml:space="preserve">11. </w:t>
      </w:r>
      <w:r>
        <w:t>Shah KV. Kyasanur Forest disease. In: Beran GW, ed. Handbook of Zoonoses. 2nd ed. Boca Raton: CRC Press; 1994:165-76.</w:t>
      </w:r>
    </w:p>
    <w:p>
      <w:pPr>
        <w:ind w:hanging="360" w:left="360"/>
      </w:pPr>
      <w:r>
        <w:rPr>
          <w:b/>
        </w:rPr>
        <w:t xml:space="preserve">12. </w:t>
      </w:r>
      <w:r>
        <w:t>Mourya DT, Yadav PD, Patil DY. Highly infectious tick-borne viral diseases: Kyasanur forest disease and Crimean-Congo haemorrhagic fever in India. WHO South-East Asia J Public Health 2014;3:8-21. PMID: 28612824</w:t>
      </w:r>
    </w:p>
    <w:p>
      <w:pPr>
        <w:ind w:hanging="360" w:left="360"/>
      </w:pPr>
      <w:r>
        <w:rPr>
          <w:b/>
        </w:rPr>
        <w:t xml:space="preserve">13. </w:t>
      </w:r>
      <w:r>
        <w:t>Dandawate CN, Bhatt PN, Shaikh BH. Immunization of langurs against Kyasanur forest disease virus. Indian J Med Res 1981;74:60-8. PMID: 7309174</w:t>
      </w:r>
    </w:p>
    <w:p>
      <w:pPr>
        <w:ind w:hanging="360" w:left="360"/>
      </w:pPr>
      <w:r>
        <w:rPr>
          <w:b/>
        </w:rPr>
        <w:t xml:space="preserve">14. </w:t>
      </w:r>
      <w:r>
        <w:t>Kaufmann SHE, Dorhoi A, Hotchkiss RS, et al. Host-directed therapies for infectious diseases. Nat Rev Drug Discov 2018;17:35-56. PMID: 28935918</w:t>
      </w:r>
    </w:p>
    <w:p>
      <w:pPr>
        <w:ind w:hanging="360" w:left="360"/>
      </w:pPr>
      <w:r>
        <w:rPr>
          <w:b/>
        </w:rPr>
        <w:t xml:space="preserve">15. </w:t>
      </w:r>
      <w:r>
        <w:t>Zumla A, Rao M, Wallis RS, et al. Host-directed therapies for infectious diseases. Nat Rev Drug Discov 2016;15:473-89. PMID: 26822833</w:t>
      </w:r>
    </w:p>
    <w:p>
      <w:pPr>
        <w:ind w:hanging="360" w:left="360"/>
      </w:pPr>
      <w:r>
        <w:rPr>
          <w:b/>
        </w:rPr>
        <w:t xml:space="preserve">16. </w:t>
      </w:r>
      <w:r>
        <w:t>Wilkinson MD, Dumontier M, Aalbersberg IJ, et al. The FAIR Guiding Principles. Sci Data 2016;3:160018. PMID: 26978244</w:t>
      </w:r>
    </w:p>
    <w:p>
      <w:pPr>
        <w:ind w:hanging="360" w:left="360"/>
      </w:pPr>
      <w:r>
        <w:rPr>
          <w:b/>
        </w:rPr>
        <w:t xml:space="preserve">17. </w:t>
      </w:r>
      <w:r>
        <w:t>Barrett T, Wilhite SE, Ledoux P, et al. NCBI GEO: functional genomics data sets. Nucleic Acids Res 2013;41:D991-5. PMID: 23193258</w:t>
      </w:r>
    </w:p>
    <w:p>
      <w:pPr>
        <w:ind w:hanging="360" w:left="360"/>
      </w:pPr>
      <w:r>
        <w:rPr>
          <w:b/>
        </w:rPr>
        <w:t xml:space="preserve">18. </w:t>
      </w:r>
      <w:r>
        <w:t>Simmons CP, Farrar JJ, van Vinh Chau N, Wills B. Dengue. N Engl J Med 2012;366:1423-32. PMID: 22494122</w:t>
      </w:r>
    </w:p>
    <w:p>
      <w:pPr>
        <w:ind w:hanging="360" w:left="360"/>
      </w:pPr>
      <w:r>
        <w:rPr>
          <w:b/>
        </w:rPr>
        <w:t xml:space="preserve">19. </w:t>
      </w:r>
      <w:r>
        <w:t>Beatty PR, Puerta-Guardo H, Killingbeck SS, et al. Dengue virus NS1 triggers endothelial permeability. Sci Transl Med 2015;7:304ra141. PMID: 26355031</w:t>
      </w:r>
    </w:p>
    <w:p>
      <w:pPr>
        <w:ind w:hanging="360" w:left="360"/>
      </w:pPr>
      <w:r>
        <w:rPr>
          <w:b/>
        </w:rPr>
        <w:t xml:space="preserve">20. </w:t>
      </w:r>
      <w:r>
        <w:t>Bray M. Pathogenesis of viral hemorrhagic fever. Curr Opin Immunol 2005;17:399-403. PMID: 15955686</w:t>
      </w:r>
    </w:p>
    <w:p>
      <w:pPr>
        <w:ind w:hanging="360" w:left="360"/>
      </w:pPr>
      <w:r>
        <w:rPr>
          <w:b/>
        </w:rPr>
        <w:t xml:space="preserve">21. </w:t>
      </w:r>
      <w:r>
        <w:t>Lindqvist R, Mundt F, Nordstrom H, et al. Tick-borne encephalitis virus gene expression. J Virol 2018;92:e00620-18. PMID: 30111564</w:t>
      </w:r>
    </w:p>
    <w:p>
      <w:pPr>
        <w:ind w:hanging="360" w:left="360"/>
      </w:pPr>
      <w:r>
        <w:rPr>
          <w:b/>
        </w:rPr>
        <w:t xml:space="preserve">22. </w:t>
      </w:r>
      <w:r>
        <w:t>Geisbert TW, Jahrling PB. Exotic emerging viral diseases: progress and challenges. Nat Med 2004;10:S110-21. PMID: 15577931</w:t>
      </w:r>
    </w:p>
    <w:p>
      <w:pPr>
        <w:ind w:hanging="360" w:left="360"/>
      </w:pPr>
      <w:r>
        <w:rPr>
          <w:b/>
        </w:rPr>
        <w:t xml:space="preserve">23. </w:t>
      </w:r>
      <w:r>
        <w:t>Fletcher-Sandersjöö A, Bellander BM. Is COVID-19 associated coagulopathy caused by overactivation of the complement cascade? Thromb Res 2020;194:36-41. PMID: 32653697</w:t>
      </w:r>
    </w:p>
    <w:p>
      <w:pPr>
        <w:ind w:hanging="360" w:left="360"/>
      </w:pPr>
      <w:r>
        <w:rPr>
          <w:b/>
        </w:rPr>
        <w:t xml:space="preserve">24. </w:t>
      </w:r>
      <w:r>
        <w:t>Zdrazil B, Felix E, Hunter F, et al. The ChEMBL Database in 2023. Nucleic Acids Res 2024;52:D1180-92. PMID: 37933841</w:t>
      </w:r>
    </w:p>
    <w:p>
      <w:pPr>
        <w:ind w:hanging="360" w:left="360"/>
      </w:pPr>
      <w:r>
        <w:rPr>
          <w:b/>
        </w:rPr>
        <w:t xml:space="preserve">25. </w:t>
      </w:r>
      <w:r>
        <w:t>Bhushan G, Lim L, Chhour I, et al. Dengue virus and endothelial dysfunction. Viruses 2021;13:2183. PMID: 34834993</w:t>
      </w:r>
    </w:p>
    <w:p>
      <w:pPr>
        <w:ind w:hanging="360" w:left="360"/>
      </w:pPr>
      <w:r>
        <w:rPr>
          <w:b/>
        </w:rPr>
        <w:t xml:space="preserve">26. </w:t>
      </w:r>
      <w:r>
        <w:t>Osterholm MT, Moore KA, Kelley NS, et al. Transmission of Ebola viruses. mBio 2015;6:e00137. PMID: 25698835</w:t>
      </w:r>
    </w:p>
    <w:p>
      <w:pPr>
        <w:ind w:hanging="360" w:left="360"/>
      </w:pPr>
      <w:r>
        <w:rPr>
          <w:b/>
        </w:rPr>
        <w:t xml:space="preserve">27. </w:t>
      </w:r>
      <w:r>
        <w:t>Levi M, van der Poll T. Coagulation and sepsis. Thromb Res 2017;149:38-44. PMID: 27889227</w:t>
      </w:r>
    </w:p>
    <w:p>
      <w:pPr>
        <w:ind w:hanging="360" w:left="360"/>
      </w:pPr>
      <w:r>
        <w:rPr>
          <w:b/>
        </w:rPr>
        <w:t xml:space="preserve">28. </w:t>
      </w:r>
      <w:r>
        <w:t>Mehta R, Soares CN, Medialdea-Carrera R, et al. Post-Kyasanur forest disease neurological manifestations. J Neurol Sci 2017;376:100-3.</w:t>
      </w:r>
    </w:p>
    <w:p>
      <w:pPr>
        <w:ind w:hanging="360" w:left="360"/>
      </w:pPr>
      <w:r>
        <w:rPr>
          <w:b/>
        </w:rPr>
        <w:t xml:space="preserve">29. </w:t>
      </w:r>
      <w:r>
        <w:t>Yacoub S, Wills B. Predicting outcome from dengue. BMC Med 2014;12:147. PMID: 25259615</w:t>
      </w:r>
    </w:p>
    <w:p>
      <w:pPr>
        <w:ind w:hanging="360" w:left="360"/>
      </w:pPr>
      <w:r>
        <w:rPr>
          <w:b/>
        </w:rPr>
        <w:t xml:space="preserve">30. </w:t>
      </w:r>
      <w:r>
        <w:t>Roberts I, Shakur H, Coats T, et al. The CRASH-2 trial. Lancet 2010;376:23-32. PMID: 20554319</w:t>
      </w:r>
    </w:p>
    <w:p>
      <w:pPr>
        <w:ind w:hanging="360" w:left="360"/>
      </w:pPr>
      <w:r>
        <w:rPr>
          <w:b/>
        </w:rPr>
        <w:t xml:space="preserve">31. </w:t>
      </w:r>
      <w:r>
        <w:t>Roberts I, Shakur-Still H, Afolabi A, et al. Effects of tranexamic acid on gastrointestinal haemorrhage (HALT-IT). Lancet 2020;395:1927-36. PMID: 32563378</w:t>
      </w:r>
    </w:p>
    <w:p>
      <w:pPr>
        <w:ind w:hanging="360" w:left="360"/>
      </w:pPr>
      <w:r>
        <w:rPr>
          <w:b/>
        </w:rPr>
        <w:t xml:space="preserve">32. </w:t>
      </w:r>
      <w:r>
        <w:t>Kiran SK, Padamashree S, Jayashree K. Health-care-seeking behaviour of KFD patients. Indian J Community Med 2021;46:486-9. PMID: 34759484</w:t>
      </w:r>
    </w:p>
    <w:p>
      <w:pPr>
        <w:ind w:hanging="360" w:left="360"/>
      </w:pPr>
      <w:r>
        <w:rPr>
          <w:b/>
        </w:rPr>
        <w:t xml:space="preserve">33. </w:t>
      </w:r>
      <w:r>
        <w:t>Yadav PD, Shete AM, Kumar GA, et al. Nipah virus sequences from humans and bats. Emerg Infect Dis 2019;25:1003-6. PMID: 31002055</w:t>
      </w:r>
    </w:p>
    <w:p>
      <w:pPr>
        <w:ind w:hanging="360" w:left="360"/>
      </w:pPr>
      <w:r>
        <w:rPr>
          <w:b/>
        </w:rPr>
        <w:t xml:space="preserve">34. </w:t>
      </w:r>
      <w:r>
        <w:t>Furuta Y, Gowen BB, Takahashi K, et al. Favipiravir (T-705) and related compounds. Antiviral Res 2013;100:446-54. PMID: 24084488</w:t>
      </w:r>
    </w:p>
    <w:p>
      <w:pPr>
        <w:ind w:hanging="360" w:left="360"/>
      </w:pPr>
      <w:r>
        <w:rPr>
          <w:b/>
        </w:rPr>
        <w:t xml:space="preserve">35. </w:t>
      </w:r>
      <w:r>
        <w:t>Nichol ST, Spiropoulou CF, Morzunov S, et al. Genetic identification of a hantavirus. Science 1993;262:914-7. PMID: 8235615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