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Checklist - Revised Manuscript</w:t>
      </w:r>
    </w:p>
    <w:p>
      <w:r>
        <w:t>Manuscript: An Integrated Multi-omics and Chemoinformatics Pipeline Identifies IDO1, PDL1, and JAK2 as Host-Directed Therapy Candidates for Leprosy</w:t>
      </w:r>
    </w:p>
    <w:p>
      <w:r>
        <w:t>Journal: Leprosy Review</w:t>
      </w:r>
    </w:p>
    <w:p>
      <w:r>
        <w:t>Date: December 31, 2024</w:t>
      </w:r>
    </w:p>
    <w:p/>
    <w:p>
      <w:pPr>
        <w:pStyle w:val="Heading1"/>
      </w:pPr>
      <w:r>
        <w:t>Required Files for Resubmission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Manuscript_Leprosy_HDT_REVISED.docx</w:t>
            </w:r>
          </w:p>
        </w:tc>
        <w:tc>
          <w:tcPr>
            <w:tcW w:type="dxa" w:w="2880"/>
          </w:tcPr>
          <w:p>
            <w:r>
              <w:t>Main manuscript (~3,200 words)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Response_to_Reviewers.docx</w:t>
            </w:r>
          </w:p>
        </w:tc>
        <w:tc>
          <w:tcPr>
            <w:tcW w:type="dxa" w:w="2880"/>
          </w:tcPr>
          <w:p>
            <w:r>
              <w:t>Point-by-point responses to all 18 concerns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TitlePage_LeprosyReview.docx</w:t>
            </w:r>
          </w:p>
        </w:tc>
        <w:tc>
          <w:tcPr>
            <w:tcW w:type="dxa" w:w="2880"/>
          </w:tcPr>
          <w:p>
            <w:r>
              <w:t>Separate title page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Figures_LeprosyReview.docx</w:t>
            </w:r>
          </w:p>
        </w:tc>
        <w:tc>
          <w:tcPr>
            <w:tcW w:type="dxa" w:w="2880"/>
          </w:tcPr>
          <w:p>
            <w:r>
              <w:t>All 4 figures with captions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CoverLetter_LeprosyReview.docx</w:t>
            </w:r>
          </w:p>
        </w:tc>
        <w:tc>
          <w:tcPr>
            <w:tcW w:type="dxa" w:w="2880"/>
          </w:tcPr>
          <w:p>
            <w:r>
              <w:t>Cover letter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Supplementary_Materials_REVISED.docx</w:t>
            </w:r>
          </w:p>
        </w:tc>
        <w:tc>
          <w:tcPr>
            <w:tcW w:type="dxa" w:w="2880"/>
          </w:tcPr>
          <w:p>
            <w:r>
              <w:t>Supplementary tables and methods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Supplementary_Table_S1.csv</w:t>
            </w:r>
          </w:p>
        </w:tc>
        <w:tc>
          <w:tcPr>
            <w:tcW w:type="dxa" w:w="2880"/>
          </w:tcPr>
          <w:p>
            <w:r>
              <w:t>Complete gene list (50 genes)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Supplementary_Table_S2.csv</w:t>
            </w:r>
          </w:p>
        </w:tc>
        <w:tc>
          <w:tcPr>
            <w:tcW w:type="dxa" w:w="2880"/>
          </w:tcPr>
          <w:p>
            <w:r>
              <w:t>Sensitivity analysis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Supplementary_Table_S3_Literature_Validation.md</w:t>
            </w:r>
          </w:p>
        </w:tc>
        <w:tc>
          <w:tcPr>
            <w:tcW w:type="dxa" w:w="2880"/>
          </w:tcPr>
          <w:p>
            <w:r>
              <w:t>Complete validation results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Major Revisions Summary</w:t>
      </w:r>
    </w:p>
    <w:p>
      <w:pPr>
        <w:pStyle w:val="Heading2"/>
      </w:pPr>
      <w:r>
        <w:t>Methodological Enhancements</w:t>
      </w:r>
    </w:p>
    <w:p>
      <w:pPr>
        <w:pStyle w:val="ListBullet"/>
      </w:pPr>
      <w:r>
        <w:t>Gene selection criteria clarified with Supplementary Table S1</w:t>
      </w:r>
    </w:p>
    <w:p>
      <w:pPr>
        <w:pStyle w:val="ListBullet"/>
      </w:pPr>
      <w:r>
        <w:t>Scoring algorithm weights justified with sensitivity analysis</w:t>
      </w:r>
    </w:p>
    <w:p>
      <w:pPr>
        <w:pStyle w:val="ListBullet"/>
      </w:pPr>
      <w:r>
        <w:t>Data preprocessing details added (RMA, DESeq2, FDR correction)</w:t>
      </w:r>
    </w:p>
    <w:p>
      <w:pPr>
        <w:pStyle w:val="ListBullet"/>
      </w:pPr>
      <w:r>
        <w:t>Compound identification strategy clarified</w:t>
      </w:r>
    </w:p>
    <w:p>
      <w:pPr>
        <w:pStyle w:val="ListBullet"/>
      </w:pPr>
      <w:r>
        <w:t>Systematic literature validation for ALL 50 targets</w:t>
      </w:r>
    </w:p>
    <w:p>
      <w:pPr>
        <w:pStyle w:val="Heading2"/>
      </w:pPr>
      <w:r>
        <w:t>New Sections Added</w:t>
      </w:r>
    </w:p>
    <w:p>
      <w:pPr>
        <w:pStyle w:val="ListBullet"/>
      </w:pPr>
      <w:r>
        <w:t>Section 4.1: Immunological Context and HDT Timing</w:t>
      </w:r>
    </w:p>
    <w:p>
      <w:pPr>
        <w:pStyle w:val="ListBullet"/>
      </w:pPr>
      <w:r>
        <w:t>Section 4.2: Safety Considerations</w:t>
      </w:r>
    </w:p>
    <w:p>
      <w:pPr>
        <w:pStyle w:val="ListBullet"/>
      </w:pPr>
      <w:r>
        <w:t>Section 4.3: VEGFA Ranking vs Biological Plausibility</w:t>
      </w:r>
    </w:p>
    <w:p>
      <w:pPr>
        <w:pStyle w:val="ListBullet"/>
      </w:pPr>
      <w:r>
        <w:t>Section 4.4: Limitations</w:t>
      </w:r>
    </w:p>
    <w:p>
      <w:pPr>
        <w:pStyle w:val="Heading2"/>
      </w:pPr>
      <w:r>
        <w:t>Clinical &amp; Safety Content</w:t>
      </w:r>
    </w:p>
    <w:p>
      <w:pPr>
        <w:pStyle w:val="ListBullet"/>
      </w:pPr>
      <w:r>
        <w:t>Type 1 vs Type 2 reaction mechanisms discussed</w:t>
      </w:r>
    </w:p>
    <w:p>
      <w:pPr>
        <w:pStyle w:val="ListBullet"/>
      </w:pPr>
      <w:r>
        <w:t>HDT timing strategy (prevention, treatment, maintenance)</w:t>
      </w:r>
    </w:p>
    <w:p>
      <w:pPr>
        <w:pStyle w:val="ListBullet"/>
      </w:pPr>
      <w:r>
        <w:t>Autoimmune risks of checkpoint inhibitors</w:t>
      </w:r>
    </w:p>
    <w:p>
      <w:pPr>
        <w:pStyle w:val="ListBullet"/>
      </w:pPr>
      <w:r>
        <w:t>TB reactivation risk with JAK inhibitors</w:t>
      </w:r>
    </w:p>
    <w:p>
      <w:pPr>
        <w:pStyle w:val="ListBullet"/>
      </w:pPr>
      <w:r>
        <w:t>Rifampicin drug interactions (50-70% exposure reduction)</w:t>
      </w:r>
    </w:p>
    <w:p>
      <w:pPr>
        <w:pStyle w:val="ListBullet"/>
      </w:pPr>
      <w:r>
        <w:t>Patient stratification recommendations</w:t>
      </w:r>
    </w:p>
    <w:p>
      <w:r>
        <w:br w:type="page"/>
      </w:r>
    </w:p>
    <w:p>
      <w:pPr>
        <w:pStyle w:val="Heading1"/>
      </w:pPr>
      <w:r>
        <w:t>Key Findings from Revision Process</w:t>
      </w:r>
    </w:p>
    <w:p>
      <w:pPr>
        <w:pStyle w:val="ListBullet"/>
      </w:pPr>
      <w:r>
        <w:t>BLK (Rank 7) has ZERO leprosy publications - computational artifact identified</w:t>
      </w:r>
    </w:p>
    <w:p>
      <w:pPr>
        <w:pStyle w:val="ListBullet"/>
      </w:pPr>
      <w:r>
        <w:t>IDO1 has strongest literature validation (12 publications) despite ranking #3</w:t>
      </w:r>
    </w:p>
    <w:p>
      <w:pPr>
        <w:pStyle w:val="ListBullet"/>
      </w:pPr>
      <w:r>
        <w:t>VEGFA ranked #1 due to high druggability (1,193 drugs) but limited biological validation</w:t>
      </w:r>
    </w:p>
    <w:p>
      <w:pPr>
        <w:pStyle w:val="ListBullet"/>
      </w:pPr>
      <w:r>
        <w:t>Sensitivity analysis confirmed top targets stable across 10 weighting schemes</w:t>
      </w:r>
    </w:p>
    <w:p>
      <w:pPr>
        <w:pStyle w:val="ListBullet"/>
      </w:pPr>
      <w:r>
        <w:t>8 targets (16%) have strong validation (10 publications)</w:t>
      </w:r>
    </w:p>
    <w:p>
      <w:pPr>
        <w:pStyle w:val="ListBullet"/>
      </w:pPr>
      <w:r>
        <w:t>6 targets (12%) have NO leprosy-specific publications</w:t>
      </w:r>
    </w:p>
    <w:p/>
    <w:p>
      <w:pPr>
        <w:pStyle w:val="Heading1"/>
      </w:pPr>
      <w:r>
        <w:t>Compliance Status</w:t>
      </w:r>
    </w:p>
    <w:p>
      <w:r>
        <w:t xml:space="preserve"> All 18 reviewer concerns addressed</w:t>
      </w:r>
    </w:p>
    <w:p>
      <w:r>
        <w:t xml:space="preserve"> Word count: 3,200 words (within Leprosy Review limit)</w:t>
      </w:r>
    </w:p>
    <w:p>
      <w:r>
        <w:t xml:space="preserve"> Supplementary materials complete</w:t>
      </w:r>
    </w:p>
    <w:p>
      <w:r>
        <w:t xml:space="preserve"> Safety considerations comprehensive</w:t>
      </w:r>
    </w:p>
    <w:p>
      <w:r>
        <w:t xml:space="preserve"> Limitations acknowledged</w:t>
      </w:r>
    </w:p>
    <w:p>
      <w:r>
        <w:t xml:space="preserve"> GitHub repository updated</w:t>
      </w:r>
    </w:p>
    <w:p/>
    <w:p>
      <w:r>
        <w:rPr>
          <w:b/>
        </w:rPr>
        <w:t>Status: READY FOR RESUBMISSION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