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 Integrated Multi-omics and Chemoinformatics Pipeline Identifies IDO1, PDL1, and JAK2 as Host-Directed Therapy Candidates for Leprosy</w:t>
      </w:r>
    </w:p>
    <w:p>
      <w:r>
        <w:t>__________________________________________________</w:t>
      </w:r>
    </w:p>
    <w:p>
      <w:pPr>
        <w:pStyle w:val="Heading1"/>
      </w:pPr>
      <w:r>
        <w:t>TITLE PAGE</w:t>
      </w:r>
    </w:p>
    <w:p>
      <w:r/>
      <w:r>
        <w:rPr>
          <w:b/>
        </w:rPr>
        <w:t>Full Title:</w:t>
      </w:r>
      <w:r>
        <w:t xml:space="preserve"> An Integrated Multi-omics and Chemoinformatics Pipeline Identifies IDO1, PDL1, and JAK2 as Host-Directed Therapy Candidates for Leprosy</w:t>
      </w:r>
    </w:p>
    <w:p>
      <w:r/>
      <w:r>
        <w:rPr>
          <w:b/>
        </w:rPr>
        <w:t>Running Title:</w:t>
      </w:r>
      <w:r>
        <w:t xml:space="preserve"> Host-Directed Therapy Targets for Leprosy</w:t>
      </w:r>
    </w:p>
    <w:p>
      <w:r/>
      <w:r>
        <w:rPr>
          <w:b/>
        </w:rPr>
        <w:t>Article Type:</w:t>
      </w:r>
      <w:r>
        <w:t xml:space="preserve"> Original Research</w:t>
      </w:r>
    </w:p>
    <w:p>
      <w:r>
        <w:rPr>
          <w:b/>
        </w:rPr>
        <w:t>Authors:</w:t>
      </w:r>
    </w:p>
    <w:p>
      <w:r>
        <w:t>Siddalingaiah H S</w:t>
      </w:r>
      <w:r>
        <w:rPr>
          <w:vertAlign w:val="superscript"/>
        </w:rPr>
        <w:t>1</w:t>
      </w:r>
      <w:r>
        <w:t>*</w:t>
      </w:r>
    </w:p>
    <w:p>
      <w:r>
        <w:rPr>
          <w:b/>
        </w:rPr>
        <w:t>Affiliations:</w:t>
      </w:r>
    </w:p>
    <w:p>
      <w:r/>
      <w:r>
        <w:rPr>
          <w:vertAlign w:val="superscript"/>
        </w:rPr>
        <w:t>1</w:t>
      </w:r>
      <w:r>
        <w:t>Department of Community Medicine, Shridevi Institute of Medical Sciences and Research Hospital, Tumkur – 572106, Karnataka, India</w:t>
      </w:r>
    </w:p>
    <w:p>
      <w:r>
        <w:rPr>
          <w:b/>
        </w:rPr>
        <w:t>Corresponding Author:</w:t>
      </w:r>
    </w:p>
    <w:p>
      <w:r>
        <w:t>Dr. Siddalingaiah H S</w:t>
      </w:r>
    </w:p>
    <w:p>
      <w:r>
        <w:t>Professor, Department of Community Medicine</w:t>
      </w:r>
    </w:p>
    <w:p>
      <w:r>
        <w:t>Shridevi Institute of Medical Sciences and Research Hospital</w:t>
      </w:r>
    </w:p>
    <w:p>
      <w:r>
        <w:t>Tumkur – 572106, Karnataka, India</w:t>
      </w:r>
    </w:p>
    <w:p>
      <w:r>
        <w:t>Email: hssling@yahoo.com</w:t>
      </w:r>
    </w:p>
    <w:p>
      <w:r>
        <w:t>Tel: +91-8941087719</w:t>
      </w:r>
    </w:p>
    <w:p>
      <w:r>
        <w:t>ORCID: 0000-0002-4771-8285</w:t>
      </w:r>
    </w:p>
    <w:p>
      <w:r/>
      <w:r>
        <w:rPr>
          <w:b/>
        </w:rPr>
        <w:t>Word Count:</w:t>
      </w:r>
      <w:r>
        <w:t xml:space="preserve"> 3,150 words (excluding abstract, references, tables, figure legends)</w:t>
      </w:r>
    </w:p>
    <w:p>
      <w:r/>
      <w:r>
        <w:rPr>
          <w:b/>
        </w:rPr>
        <w:t>Tables:</w:t>
      </w:r>
      <w:r>
        <w:t xml:space="preserve"> 3</w:t>
      </w:r>
    </w:p>
    <w:p>
      <w:r/>
      <w:r>
        <w:rPr>
          <w:b/>
        </w:rPr>
        <w:t>Figures:</w:t>
      </w:r>
      <w:r>
        <w:t xml:space="preserve"> 4</w:t>
      </w:r>
    </w:p>
    <w:p>
      <w:r/>
      <w:r>
        <w:rPr>
          <w:b/>
        </w:rPr>
        <w:t>References:</w:t>
      </w:r>
      <w:r>
        <w:t xml:space="preserve"> 35</w:t>
      </w:r>
    </w:p>
    <w:p>
      <w:r/>
      <w:r>
        <w:rPr>
          <w:b/>
        </w:rPr>
        <w:t>Supplementary Files:</w:t>
      </w:r>
      <w:r>
        <w:t xml:space="preserve"> 2</w:t>
      </w:r>
    </w:p>
    <w:p>
      <w:r/>
      <w:r>
        <w:rPr>
          <w:b/>
        </w:rPr>
        <w:t>Conflicts of Interest:</w:t>
      </w:r>
      <w:r>
        <w:t xml:space="preserve"> The author declares no conflicts of interest.</w:t>
      </w:r>
    </w:p>
    <w:p>
      <w:r/>
      <w:r>
        <w:rPr>
          <w:b/>
        </w:rPr>
        <w:t>Funding:</w:t>
      </w:r>
      <w:r>
        <w:t xml:space="preserve"> This research received no external funding.</w:t>
      </w:r>
    </w:p>
    <w:p>
      <w:r/>
      <w:r>
        <w:rPr>
          <w:b/>
        </w:rPr>
        <w:t>Data Availability Statement:</w:t>
      </w:r>
      <w:r>
        <w:t xml:space="preserve"> All data and code are publicly available at https://github.com/hssling/Leprosy_drug_discovery</w:t>
      </w:r>
    </w:p>
    <w:p>
      <w:r/>
      <w:r>
        <w:rPr>
          <w:b/>
        </w:rPr>
        <w:t>Author Contributions:</w:t>
      </w:r>
      <w:r>
        <w:t xml:space="preserve"> SHS conceived and designed the study, developed the computational pipeline, performed the analysis, validated results, and wrote the manuscript.</w:t>
      </w:r>
    </w:p>
    <w:p>
      <w:r>
        <w:t>__________________________________________________</w:t>
      </w:r>
    </w:p>
    <w:p>
      <w:pPr>
        <w:pStyle w:val="Heading1"/>
      </w:pPr>
      <w:r>
        <w:t>STRUCTURED ABSTRACT</w:t>
      </w:r>
    </w:p>
    <w:p>
      <w:r/>
      <w:r>
        <w:rPr>
          <w:b/>
        </w:rPr>
        <w:t>Background:</w:t>
      </w:r>
      <w:r>
        <w:t xml:space="preserve"> Leprosy (Hansen's disease), caused by *Mycobacterium leprae*, remains endemic in tropical countries with approximately 200,000 new cases annually. Despite effective multidrug therapy (MDT), leprosy reactions cause significant nerve damage and disability. Host-directed therapies (HDTs) represent an emerging strategy to modulate immune responses, potentially preventing complications and improving outcomes.</w:t>
      </w:r>
    </w:p>
    <w:p>
      <w:r/>
      <w:r>
        <w:rPr>
          <w:b/>
        </w:rPr>
        <w:t>Objectives:</w:t>
      </w:r>
      <w:r>
        <w:t xml:space="preserve"> To systematically identify druggable host targets and repurposable drug candidates for leprosy using an integrated multi-omics and chemoinformatics pipeline.</w:t>
      </w:r>
    </w:p>
    <w:p>
      <w:r/>
      <w:r>
        <w:rPr>
          <w:b/>
        </w:rPr>
        <w:t>Methods:</w:t>
      </w:r>
      <w:r>
        <w:t xml:space="preserve"> A 50-gene host signature was compiled from published leprosy transcriptomic studies (GEO datasets GSE16844, GSE125943, GSE129033, GSE74481). An automated Python pipeline integrated MyGene.info for gene-protein mapping, Open Targets Platform for druggability assessment, and ChEMBL database (version 33) for compound bioactivity mining. Targets were prioritized using a weighted composite score incorporating expression strength, druggability evidence, and pathway centrality. Literature validation was performed for top-ranked targets.</w:t>
      </w:r>
    </w:p>
    <w:p>
      <w:r/>
      <w:r>
        <w:rPr>
          <w:b/>
        </w:rPr>
        <w:t>Results:</w:t>
      </w:r>
      <w:r>
        <w:t xml:space="preserve"> Fifty host targets were prioritized. The top five candidates were VEGFA (score 0.525), PDL1/CD274 (0.449), IDO1 (0.386), CD38 (0.291), and IL10 (0.273). From overlapping targets with tuberculosis, 629 bioactive compounds (pChEMBL ≥6.0) were identified, including FDA-approved JAK inhibitors (Tofacitinib, Ruxolitinib, Baricitinib). Literature validation confirmed IDO1's role in leprosy immunosuppression through tryptophan catabolism, PDL1-mediated T-cell exhaustion in lepromatous patients, and published efficacy of Tofacitinib for chronic erythema nodosum leprosum.</w:t>
      </w:r>
    </w:p>
    <w:p>
      <w:r/>
      <w:r>
        <w:rPr>
          <w:b/>
        </w:rPr>
        <w:t>Conclusions:</w:t>
      </w:r>
      <w:r>
        <w:t xml:space="preserve"> This pipeline successfully identified literature-validated HDT targets for leprosy. IDO1 inhibition may reverse tolerogenic immunosuppression, PD-1/PD-L1 blockade could restore T-cell function, and JAK inhibitors show clinical promise for leprosy reactions. These findings support developing adjunctive immunotherapies beyond conventional MDT, with potential implications for other mycobacterial infections including tuberculosis.</w:t>
      </w:r>
    </w:p>
    <w:p>
      <w:r/>
      <w:r>
        <w:rPr>
          <w:b/>
        </w:rPr>
        <w:t>Keywords:</w:t>
      </w:r>
      <w:r>
        <w:t xml:space="preserve"> leprosy; host-directed therapy; IDO1; PD-L1; immune checkpoint; JAK2; drug repurposing; *Mycobacterium leprae*; tuberculosis</w:t>
      </w:r>
    </w:p>
    <w:p>
      <w:r>
        <w:t>__________________________________________________</w:t>
      </w:r>
    </w:p>
    <w:p>
      <w:pPr>
        <w:pStyle w:val="Heading1"/>
      </w:pPr>
      <w:r>
        <w:t>1. INTRODUCTION</w:t>
      </w:r>
    </w:p>
    <w:p>
      <w:r>
        <w:t>Leprosy (Hansen's disease), a chronic granulomatous infection caused by the obligate intracellular pathogen *Mycobacterium leprae*, remains a significant public health concern despite being declared "eliminated as a public health problem" by the World Health Organization (WHO) in 2000.</w:t>
      </w:r>
      <w:r>
        <w:rPr>
          <w:vertAlign w:val="superscript"/>
        </w:rPr>
        <w:t>1,2</w:t>
      </w:r>
      <w:r>
        <w:t xml:space="preserve"> Approximately 200,000 new cases are registered annually, with India, Brazil, and Indonesia collectively accounting for over 80% of the global burden.</w:t>
      </w:r>
      <w:r>
        <w:rPr>
          <w:vertAlign w:val="superscript"/>
        </w:rPr>
        <w:t>3</w:t>
      </w:r>
      <w:r>
        <w:t xml:space="preserve"> The disease disproportionately affects marginalized populations in tropical and subtropical regions, perpetuating cycles of poverty and social stigma.</w:t>
      </w:r>
      <w:r>
        <w:rPr>
          <w:vertAlign w:val="superscript"/>
        </w:rPr>
        <w:t>4</w:t>
      </w:r>
      <w:r/>
    </w:p>
    <w:p>
      <w:r>
        <w:t>The clinical spectrum of leprosy reflects the host's immune response to *M. leprae*, ranging from the paucibacillary tuberculoid (TT) form with robust cell-mediated immunity to the multibacillary lepromatous (LL) form characterized by anergic responses and high bacterial loads.</w:t>
      </w:r>
      <w:r>
        <w:rPr>
          <w:vertAlign w:val="superscript"/>
        </w:rPr>
        <w:t>5,6</w:t>
      </w:r>
      <w:r>
        <w:t xml:space="preserve"> A critical challenge in leprosy management is the occurrence of leprosy reactions—immunologically mediated inflammatory episodes affecting up to 50% of patients.</w:t>
      </w:r>
      <w:r>
        <w:rPr>
          <w:vertAlign w:val="superscript"/>
        </w:rPr>
        <w:t>7</w:t>
      </w:r>
      <w:r>
        <w:t xml:space="preserve"> Type 1 reactions (reversal reactions, RR) and Type 2 reactions (erythema nodosum leprosum, ENL) cause acute neuritis, leading to irreversible nerve damage and disability even after successful antimicrobial treatment.</w:t>
      </w:r>
      <w:r>
        <w:rPr>
          <w:vertAlign w:val="superscript"/>
        </w:rPr>
        <w:t>8,9</w:t>
      </w:r>
      <w:r/>
    </w:p>
    <w:p>
      <w:r>
        <w:t>Standard multidrug therapy (MDT) combining dapsone, rifampicin, and clofazimine has revolutionized leprosy treatment.</w:t>
      </w:r>
      <w:r>
        <w:rPr>
          <w:vertAlign w:val="superscript"/>
        </w:rPr>
        <w:t>10</w:t>
      </w:r>
      <w:r>
        <w:t xml:space="preserve"> However, MDT does not prevent reactions, and current immunosuppressive treatments—corticosteroids and thalidomide—have significant adverse effects and limited efficacy in refractory cases.</w:t>
      </w:r>
      <w:r>
        <w:rPr>
          <w:vertAlign w:val="superscript"/>
        </w:rPr>
        <w:t>11,12</w:t>
      </w:r>
      <w:r>
        <w:t xml:space="preserve"> This therapeutic gap underscores the urgent need for novel strategies that can modulate host immune responses more precisely.</w:t>
      </w:r>
    </w:p>
    <w:p>
      <w:r>
        <w:t>Host-directed therapies (HDTs) represent an emerging paradigm in infectious disease treatment, targeting host cellular pathways rather than pathogen-specific mechanisms.</w:t>
      </w:r>
      <w:r>
        <w:rPr>
          <w:vertAlign w:val="superscript"/>
        </w:rPr>
        <w:t>13,14</w:t>
      </w:r>
      <w:r>
        <w:t xml:space="preserve"> Originally pioneered for tuberculosis, HDT approaches have demonstrated success in modulating granuloma dynamics, enhancing autophagy, and optimizing inflammatory responses.</w:t>
      </w:r>
      <w:r>
        <w:rPr>
          <w:vertAlign w:val="superscript"/>
        </w:rPr>
        <w:t>15,16</w:t>
      </w:r>
      <w:r>
        <w:t xml:space="preserve"> *Mycobacterium leprae*, sharing substantial genomic homology with *M. tuberculosis*, employs similar immune evasion mechanisms, suggesting that HDT strategies may be transferable between these mycobacterial diseases.</w:t>
      </w:r>
      <w:r>
        <w:rPr>
          <w:vertAlign w:val="superscript"/>
        </w:rPr>
        <w:t>17</w:t>
      </w:r>
      <w:r/>
    </w:p>
    <w:p>
      <w:r>
        <w:t>*M. leprae* has evolved sophisticated mechanisms to subvert host immunity, including induction of immunosuppressive regulatory T cells, upregulation of inhibitory receptors such as PD-1, and metabolic reprogramming through indoleamine 2,3-dioxygenase 1 (IDO1).</w:t>
      </w:r>
      <w:r>
        <w:rPr>
          <w:vertAlign w:val="superscript"/>
        </w:rPr>
        <w:t>18,19</w:t>
      </w:r>
      <w:r>
        <w:t xml:space="preserve"> These pathways represent attractive therapeutic targets for restoring antimicrobial immunity. However, systematic identification of druggable host targets in leprosy has been limited by the organism's inability to be cultured *in vitro* and the relative paucity of animal models.</w:t>
      </w:r>
      <w:r>
        <w:rPr>
          <w:vertAlign w:val="superscript"/>
        </w:rPr>
        <w:t>20</w:t>
      </w:r>
      <w:r/>
    </w:p>
    <w:p>
      <w:r>
        <w:t>Computational approaches integrating multi-omics data with chemical databases offer a powerful method to overcome these limitations. We previously developed and validated an automated informatics pipeline for identifying HDT targets in tuberculosis, demonstrating its ability to prioritize druggable candidates and identify repurposable compounds.</w:t>
      </w:r>
      <w:r>
        <w:rPr>
          <w:vertAlign w:val="superscript"/>
        </w:rPr>
        <w:t>21</w:t>
      </w:r>
      <w:r>
        <w:t xml:space="preserve"> In this study, we extended this pipeline to leprosy, integrating published transcriptomic signatures with druggability assessments and compound bioactivity data to systematically identify host targets amenable to pharmacological intervention.</w:t>
      </w:r>
    </w:p>
    <w:p>
      <w:r>
        <w:t>__________________________________________________</w:t>
      </w:r>
    </w:p>
    <w:p>
      <w:pPr>
        <w:pStyle w:val="Heading1"/>
      </w:pPr>
      <w:r>
        <w:t>2. MATERIALS AND METHODS</w:t>
      </w:r>
    </w:p>
    <w:p>
      <w:pPr>
        <w:pStyle w:val="Heading2"/>
      </w:pPr>
      <w:r>
        <w:t>2.1 Study Design</w:t>
      </w:r>
    </w:p>
    <w:p>
      <w:r>
        <w:t>This computational, *in silico* study employed a systems biology approach to integrate publicly available leprosy transcriptomic data with chemical-genomic databases for drug target and compound prioritization (Figure 1). The analysis was conducted in accordance with FAIR (Findable, Accessible, Interoperable, Reusable) data principles, with all code and data made publicly available.</w:t>
      </w:r>
      <w:r>
        <w:rPr>
          <w:vertAlign w:val="superscript"/>
        </w:rPr>
        <w:t>22</w:t>
      </w:r>
      <w:r/>
    </w:p>
    <w:p>
      <w:pPr>
        <w:pStyle w:val="Heading2"/>
      </w:pPr>
      <w:r>
        <w:t>2.2 Host Gene Signature Curation</w:t>
      </w:r>
    </w:p>
    <w:p>
      <w:r>
        <w:t>A 50-gene leprosy host signature was compiled from published transcriptomic studies and Gene Expression Omnibus (GEO) datasets.</w:t>
      </w:r>
      <w:r>
        <w:rPr>
          <w:vertAlign w:val="superscript"/>
        </w:rPr>
        <w:t>23</w:t>
      </w:r>
      <w:r>
        <w:t xml:space="preserve"> The following datasets were utilized:</w:t>
      </w:r>
    </w:p>
    <w:p>
      <w:r>
        <w:t xml:space="preserve">- </w:t>
      </w:r>
      <w:r>
        <w:rPr>
          <w:b/>
        </w:rPr>
        <w:t>GSE16844:</w:t>
      </w:r>
      <w:r>
        <w:t xml:space="preserve"> Skin lesion transcriptomes comparing leprosy patients with controls</w:t>
      </w:r>
      <w:r>
        <w:rPr>
          <w:vertAlign w:val="superscript"/>
        </w:rPr>
        <w:t>24</w:t>
      </w:r>
      <w:r/>
    </w:p>
    <w:p>
      <w:r>
        <w:t xml:space="preserve">- </w:t>
      </w:r>
      <w:r>
        <w:rPr>
          <w:b/>
        </w:rPr>
        <w:t>GSE125943:</w:t>
      </w:r>
      <w:r>
        <w:t xml:space="preserve"> Whole blood signatures during leprosy reactions</w:t>
      </w:r>
      <w:r>
        <w:rPr>
          <w:vertAlign w:val="superscript"/>
        </w:rPr>
        <w:t>25</w:t>
      </w:r>
      <w:r/>
    </w:p>
    <w:p>
      <w:r>
        <w:t xml:space="preserve">- </w:t>
      </w:r>
      <w:r>
        <w:rPr>
          <w:b/>
        </w:rPr>
        <w:t>GSE129033:</w:t>
      </w:r>
      <w:r>
        <w:t xml:space="preserve"> Peripheral blood mononuclear cell profiles across the leprosy spectrum</w:t>
      </w:r>
      <w:r>
        <w:rPr>
          <w:vertAlign w:val="superscript"/>
        </w:rPr>
        <w:t>26</w:t>
      </w:r>
      <w:r/>
    </w:p>
    <w:p>
      <w:r>
        <w:t xml:space="preserve">- </w:t>
      </w:r>
      <w:r>
        <w:rPr>
          <w:b/>
        </w:rPr>
        <w:t>GSE74481:</w:t>
      </w:r>
      <w:r>
        <w:t xml:space="preserve"> Skin transcriptomes during immune reactions</w:t>
      </w:r>
      <w:r>
        <w:rPr>
          <w:vertAlign w:val="superscript"/>
        </w:rPr>
        <w:t>27</w:t>
      </w:r>
      <w:r/>
    </w:p>
    <w:p>
      <w:r>
        <w:t>Genes were selected based on: (1) consistent differential expression across studies (|log₂ fold change| ≥1.0), (2) statistical significance (adjusted p-value &lt;0.05), and (3) biological relevance to leprosy immunopathology based on literature review.</w:t>
      </w:r>
    </w:p>
    <w:p>
      <w:pPr>
        <w:pStyle w:val="Heading2"/>
      </w:pPr>
      <w:r>
        <w:t>2.3 Computational Pipeline Architecture</w:t>
      </w:r>
    </w:p>
    <w:p>
      <w:r>
        <w:t>The automated pipeline was implemented in Python 3.12 and integrated three public APIs (Figure 1):</w:t>
      </w:r>
    </w:p>
    <w:p>
      <w:r/>
      <w:r>
        <w:rPr>
          <w:b/>
        </w:rPr>
        <w:t>Gene Identification Mapping:</w:t>
      </w:r>
      <w:r>
        <w:t xml:space="preserve"> MyGene.info was used to convert gene symbols to standardized identifiers including Ensembl Gene IDs (ENSG) and UniProt accession numbers.</w:t>
      </w:r>
      <w:r>
        <w:rPr>
          <w:vertAlign w:val="superscript"/>
        </w:rPr>
        <w:t>28</w:t>
      </w:r>
      <w:r/>
    </w:p>
    <w:p>
      <w:r/>
      <w:r>
        <w:rPr>
          <w:b/>
        </w:rPr>
        <w:t>Druggability Assessment:</w:t>
      </w:r>
      <w:r>
        <w:t xml:space="preserve"> The Open Targets Platform GraphQL API was queried to retrieve tractability assessments, known drug associations, and clinical phase information for each target.</w:t>
      </w:r>
      <w:r>
        <w:rPr>
          <w:vertAlign w:val="superscript"/>
        </w:rPr>
        <w:t>29</w:t>
      </w:r>
      <w:r/>
    </w:p>
    <w:p>
      <w:r/>
      <w:r>
        <w:rPr>
          <w:b/>
        </w:rPr>
        <w:t>Compound Mining:</w:t>
      </w:r>
      <w:r>
        <w:t xml:space="preserve"> ChEMBL database (version 33) was queried to identify bioactive compounds with validated activity against mapped targets.</w:t>
      </w:r>
      <w:r>
        <w:rPr>
          <w:vertAlign w:val="superscript"/>
        </w:rPr>
        <w:t>30</w:t>
      </w:r>
      <w:r>
        <w:t xml:space="preserve"> Compounds with pChEMBL values ≥6.0 (corresponding to ≤1 μM potency) were included.</w:t>
      </w:r>
    </w:p>
    <w:p>
      <w:pPr>
        <w:pStyle w:val="Heading2"/>
      </w:pPr>
      <w:r>
        <w:t>2.4 Target Prioritization Algorithm</w:t>
      </w:r>
    </w:p>
    <w:p>
      <w:r>
        <w:t>For each gene, a composite target prioritization score was calculated using a weighted formula:</w:t>
      </w:r>
    </w:p>
    <w:p>
      <w:r>
        <w:rPr>
          <w:b/>
        </w:rPr>
        <w:t>Composite Score = 0.35 × Omics_Strength + 0.25 × OpenTargets_Evidence + 0.20 × Druggability_Proxy + 0.10 × Pathway_Centrality + 0.10 × Replication</w:t>
      </w:r>
    </w:p>
    <w:p>
      <w:r>
        <w:t>Where:</w:t>
      </w:r>
    </w:p>
    <w:p>
      <w:r>
        <w:t xml:space="preserve">- </w:t>
      </w:r>
      <w:r>
        <w:rPr>
          <w:b/>
        </w:rPr>
        <w:t>Omics_Strength</w:t>
      </w:r>
      <w:r>
        <w:t xml:space="preserve"> = normalized |log₂FC| × (1 − p-value)</w:t>
      </w:r>
    </w:p>
    <w:p>
      <w:r>
        <w:t xml:space="preserve">- </w:t>
      </w:r>
      <w:r>
        <w:rPr>
          <w:b/>
        </w:rPr>
        <w:t>OpenTargets_Evidence</w:t>
      </w:r>
      <w:r>
        <w:t xml:space="preserve"> = tractability score from Open Targets</w:t>
      </w:r>
    </w:p>
    <w:p>
      <w:r>
        <w:t xml:space="preserve">- </w:t>
      </w:r>
      <w:r>
        <w:rPr>
          <w:b/>
        </w:rPr>
        <w:t>Druggability_Proxy</w:t>
      </w:r>
      <w:r>
        <w:t xml:space="preserve"> = min(known_drugs/100, 1)</w:t>
      </w:r>
    </w:p>
    <w:p>
      <w:r>
        <w:t xml:space="preserve">- </w:t>
      </w:r>
      <w:r>
        <w:rPr>
          <w:b/>
        </w:rPr>
        <w:t>Pathway_Centrality</w:t>
      </w:r>
      <w:r>
        <w:t xml:space="preserve"> = degree centrality in protein-protein interaction networks</w:t>
      </w:r>
    </w:p>
    <w:p>
      <w:r>
        <w:t xml:space="preserve">- </w:t>
      </w:r>
      <w:r>
        <w:rPr>
          <w:b/>
        </w:rPr>
        <w:t>Replication</w:t>
      </w:r>
      <w:r>
        <w:t xml:space="preserve"> = cross-study consistency indicator</w:t>
      </w:r>
    </w:p>
    <w:p>
      <w:pPr>
        <w:pStyle w:val="Heading2"/>
      </w:pPr>
      <w:r>
        <w:t>2.5 Literature Validation</w:t>
      </w:r>
    </w:p>
    <w:p>
      <w:r>
        <w:t>Top-ranked targets were validated against PubMed using structured search strategies:</w:t>
      </w:r>
    </w:p>
    <w:p>
      <w:r>
        <w:t>("[gene symbol]" OR "[protein name]") AND ("leprosy" OR "M. leprae" OR "Hansen")</w:t>
      </w:r>
    </w:p>
    <w:p>
      <w:r>
        <w:t>Evidence was categorized as: (1) mechanistic studies in *M. leprae* infection models, (2) expression studies in patient samples, or (3) therapeutic intervention studies.</w:t>
      </w:r>
    </w:p>
    <w:p>
      <w:pPr>
        <w:pStyle w:val="Heading2"/>
      </w:pPr>
      <w:r>
        <w:t>2.6 Data Visualization and Statistical Analysis</w:t>
      </w:r>
    </w:p>
    <w:p>
      <w:r>
        <w:t>Publication-quality figures were generated using matplotlib and seaborn libraries.</w:t>
      </w:r>
      <w:r>
        <w:rPr>
          <w:vertAlign w:val="superscript"/>
        </w:rPr>
        <w:t>31</w:t>
      </w:r>
      <w:r>
        <w:t xml:space="preserve"> Heatmaps for pathway enrichment utilized hierarchical clustering. All statistical analyses were performed in Python with pandas and scipy libraries.</w:t>
      </w:r>
    </w:p>
    <w:p>
      <w:r>
        <w:t>__________________________________________________</w:t>
      </w:r>
    </w:p>
    <w:p>
      <w:pPr>
        <w:pStyle w:val="Heading1"/>
      </w:pPr>
      <w:r>
        <w:t>3. RESULTS</w:t>
      </w:r>
    </w:p>
    <w:p>
      <w:pPr>
        <w:pStyle w:val="Heading2"/>
      </w:pPr>
      <w:r>
        <w:t>3.1 Host Target Prioritization</w:t>
      </w:r>
    </w:p>
    <w:p>
      <w:r>
        <w:t>The computational pipeline successfully processed the 50-gene leprosy signature, generating prioritized HDT candidates ranked by composite score. The distribution of scores ranged from 0.013 to 0.525, with a median of 0.113 (Figure 2A). The top 10 targets are presented in Table 1.</w:t>
      </w:r>
    </w:p>
    <w:p>
      <w:r>
        <w:rPr>
          <w:b/>
        </w:rPr>
        <w:t>Table 1: Top 10 Host-Directed Therapy Target Candidates for Leprosy</w:t>
      </w:r>
    </w:p>
    <w:p>
      <w:r>
        <w:t>|------|------|---------|-------|-------------|-------------------|</w:t>
      </w:r>
    </w:p>
    <w:p>
      <w:r>
        <w:t>The pathway distribution analysis revealed enrichment in immune checkpoint signaling (PDL1, CTLA4, PD1), JAK-STAT pathway (JAK2, STAT1, STAT3), tryptophan metabolism (IDO1), and pattern recognition (TLR2, TLR10, NOD2) (Figure 3).</w:t>
      </w:r>
    </w:p>
    <w:p>
      <w:pPr>
        <w:pStyle w:val="Heading2"/>
      </w:pPr>
      <w:r>
        <w:t>3.2 Compound Discovery</w:t>
      </w:r>
    </w:p>
    <w:p>
      <w:r>
        <w:t>For targets overlapping between the leprosy signature and our previously validated tuberculosis pipeline, 629 bioactive compounds with pChEMBL ≥6.0 were identified. The distribution of compound potency is shown in Figure 2B, with 89 compounds (14.1%) demonstrating sub-nanomolar activity (pChEMBL ≥9.0).</w:t>
      </w:r>
    </w:p>
    <w:p>
      <w:r>
        <w:rPr>
          <w:b/>
        </w:rPr>
        <w:t>Table 2: Clinically Advanced Drug Candidates for Leprosy HDT Repurposing</w:t>
      </w:r>
    </w:p>
    <w:p>
      <w:r>
        <w:t>|------|--------|---------|-----------|-----------|-------------------|</w:t>
      </w:r>
    </w:p>
    <w:p>
      <w:r>
        <w:t>The target-by-potency analysis (Figure 2C) identified Matrix Metalloproteinase 9 (MMP9), JAK2, and PPARG as targets with the highest-potency available compounds.</w:t>
      </w:r>
    </w:p>
    <w:p>
      <w:pPr>
        <w:pStyle w:val="Heading2"/>
      </w:pPr>
      <w:r>
        <w:t>3.3 Literature Validation of Priority Targets</w:t>
      </w:r>
    </w:p>
    <w:p>
      <w:r/>
      <w:r>
        <w:rPr>
          <w:b/>
        </w:rPr>
        <w:t>IDO1 (Rank 3, Score 0.386):</w:t>
      </w:r>
      <w:r>
        <w:t xml:space="preserve"> IDO1 is robustly validated in leprosy literature. De Mattos Barbosa et al. demonstrated that *M. leprae* induces IDO1 expression in monocytes and Schwann cells via IL-10-dependent mechanisms, creating an immunosuppressive microenvironment through tryptophan depletion.</w:t>
      </w:r>
      <w:r>
        <w:rPr>
          <w:vertAlign w:val="superscript"/>
        </w:rPr>
        <w:t>18</w:t>
      </w:r>
      <w:r>
        <w:t xml:space="preserve"> IDO1 expression is significantly elevated in lepromatous lesions compared to tuberculoid forms.</w:t>
      </w:r>
      <w:r>
        <w:rPr>
          <w:vertAlign w:val="superscript"/>
        </w:rPr>
        <w:t>33</w:t>
      </w:r>
      <w:r>
        <w:t xml:space="preserve"> The enzyme catalyzes tryptophan to kynurenine, depleting this essential amino acid and producing metabolites that inhibit T-cell function while promoting regulatory T-cell differentiation.</w:t>
      </w:r>
    </w:p>
    <w:p>
      <w:r/>
      <w:r>
        <w:rPr>
          <w:b/>
        </w:rPr>
        <w:t>PDL1/CD274 (Rank 2, Score 0.449):</w:t>
      </w:r>
      <w:r>
        <w:t xml:space="preserve"> PD-1/PD-L1 checkpoint signaling is critically implicated in leprosy immunopathology. Palermo et al. demonstrated significantly elevated PD-1 expression on CD4+ and CD8+ T cells in lepromatous patients compared to tuberculoid patients or healthy controls, correlating with disease severity and bacterial index.</w:t>
      </w:r>
      <w:r>
        <w:rPr>
          <w:vertAlign w:val="superscript"/>
        </w:rPr>
        <w:t>19</w:t>
      </w:r>
      <w:r>
        <w:t xml:space="preserve"> *In vitro* blockade of PD-1/PD-L1 interaction restores IFN-γ production and T-cell proliferation, suggesting checkpoint inhibitors as potential adjunctive therapy.</w:t>
      </w:r>
      <w:r>
        <w:rPr>
          <w:vertAlign w:val="superscript"/>
        </w:rPr>
        <w:t>34</w:t>
      </w:r>
      <w:r/>
    </w:p>
    <w:p>
      <w:r/>
      <w:r>
        <w:rPr>
          <w:b/>
        </w:rPr>
        <w:t>JAK2 (Rank 8, Score 0.263):</w:t>
      </w:r>
      <w:r>
        <w:t xml:space="preserve"> JAK2 signaling mediates cytokine responses central to leprosy immunology. Thangaraju et al. reported successful use of Tofacitinib for chronic, steroid-refractory ENL, representing the first published use of JAK inhibitors in leprosy.</w:t>
      </w:r>
      <w:r>
        <w:rPr>
          <w:vertAlign w:val="superscript"/>
        </w:rPr>
        <w:t>32</w:t>
      </w:r>
      <w:r>
        <w:t xml:space="preserve"> The compound's anti-inflammatory effects dampen excessive TNF-α and IL-6 production characteristic of ENL.</w:t>
      </w:r>
    </w:p>
    <w:p>
      <w:r>
        <w:rPr>
          <w:b/>
        </w:rPr>
        <w:t>Table 3: Literature Validation Summary for Top Targets</w:t>
      </w:r>
    </w:p>
    <w:p>
      <w:r>
        <w:t>|--------|----------------|-------------|------------------------|</w:t>
      </w:r>
    </w:p>
    <w:p>
      <w:pPr>
        <w:pStyle w:val="Heading2"/>
      </w:pPr>
      <w:r>
        <w:t>3.4 Overlap with Tuberculosis HDT Targets</w:t>
      </w:r>
    </w:p>
    <w:p>
      <w:r>
        <w:t>A notable finding was the significant overlap between leprosy and tuberculosis host targets. JAK2, MMP9, PPARG, VDR, IL6, and TNF were prioritized in both disease contexts (Figure 4). This convergence reflects shared mycobacterial immune evasion strategies and suggests that HDT approaches successful for tuberculosis may be applicable to leprosy.</w:t>
      </w:r>
      <w:r>
        <w:rPr>
          <w:vertAlign w:val="superscript"/>
        </w:rPr>
        <w:t>35</w:t>
      </w:r>
      <w:r/>
    </w:p>
    <w:p>
      <w:r>
        <w:t>__________________________________________________</w:t>
      </w:r>
    </w:p>
    <w:p>
      <w:pPr>
        <w:pStyle w:val="Heading1"/>
      </w:pPr>
      <w:r>
        <w:t>4. DISCUSSION</w:t>
      </w:r>
    </w:p>
    <w:p>
      <w:r>
        <w:t>This study demonstrates the utility of an integrated multi-omics and chemoinformatics pipeline for systematically identifying host-directed therapy candidates in leprosy. By combining transcriptomic signatures with druggability assessments and compound bioactivity data, we prioritized 50 host targets and identified 629 bioactive compounds, including multiple FDA-approved drugs suitable for repurposing.</w:t>
      </w:r>
    </w:p>
    <w:p>
      <w:pPr>
        <w:pStyle w:val="Heading2"/>
      </w:pPr>
      <w:r>
        <w:t>4.1 IDO1 as a Therapeutic Target</w:t>
      </w:r>
    </w:p>
    <w:p>
      <w:r>
        <w:t>IDO1 emerged as the third-ranked target with compelling literature validation. The IDO1-kynurenine pathway represents a critical mechanism by which *M. leprae* establishes immune tolerance in the host.</w:t>
      </w:r>
      <w:r>
        <w:rPr>
          <w:vertAlign w:val="superscript"/>
        </w:rPr>
        <w:t>18</w:t>
      </w:r>
      <w:r>
        <w:t xml:space="preserve"> In lepromatous leprosy, elevated IDO1 expression in lesional macrophages and Schwann cells depletes local tryptophan, starving pathogen-reactive T cells while generating immunosuppressive kynurenine metabolites. This mechanism parallels findings in tuberculosis granulomas, where IDO1 activity correlates with disease progression.</w:t>
      </w:r>
      <w:r>
        <w:rPr>
          <w:vertAlign w:val="superscript"/>
        </w:rPr>
        <w:t>21</w:t>
      </w:r>
      <w:r/>
    </w:p>
    <w:p>
      <w:r>
        <w:t>IDO1 inhibitors, including epacadostat and indoximod, have been developed for oncology applications and could potentially be repurposed for infectious diseases. However, the dual role of IDO1 in both pathogen control (through tryptophan starvation) and tissue protection warrants careful preclinical investigation before clinical translation.</w:t>
      </w:r>
    </w:p>
    <w:p>
      <w:pPr>
        <w:pStyle w:val="Heading2"/>
      </w:pPr>
      <w:r>
        <w:t>4.2 Immune Checkpoint Blockade in Leprosy</w:t>
      </w:r>
    </w:p>
    <w:p>
      <w:r>
        <w:t>The identification of PDL1 (CD274) and CTLA4 among top targets aligns with emerging evidence that *M. leprae* exploits immune checkpoint pathways to evade host immunity.</w:t>
      </w:r>
      <w:r>
        <w:rPr>
          <w:vertAlign w:val="superscript"/>
        </w:rPr>
        <w:t>19</w:t>
      </w:r>
      <w:r>
        <w:t xml:space="preserve"> Checkpoint inhibitors (pembrolizumab, nivolumab) have transformed oncology but remain investigational for infectious diseases. In leprosy, potential benefits include restoring antimicrobial immunity in anergic patients; however, excessive immune activation could theoretically exacerbate leprosy reactions, necessitating careful patient stratification.</w:t>
      </w:r>
    </w:p>
    <w:p>
      <w:pPr>
        <w:pStyle w:val="Heading2"/>
      </w:pPr>
      <w:r>
        <w:t>4.3 JAK Inhibitors: From Bench to Bedside</w:t>
      </w:r>
    </w:p>
    <w:p>
      <w:r>
        <w:t>Our identification of JAK2 is particularly noteworthy given published clinical evidence supporting JAK inhibition for leprosy reactions.</w:t>
      </w:r>
      <w:r>
        <w:rPr>
          <w:vertAlign w:val="superscript"/>
        </w:rPr>
        <w:t>32</w:t>
      </w:r>
      <w:r>
        <w:t xml:space="preserve"> Tofacitinib's efficacy in steroid-refractory ENL provides proof-of-concept that host-directed immunomodulation can benefit leprosy patients beyond standard MDT. Our compound analysis identified multiple FDA-approved JAK inhibitors with sub-micromolar potency, including newer selective agents (Upadacitinib) that may offer improved safety profiles.</w:t>
      </w:r>
    </w:p>
    <w:p>
      <w:pPr>
        <w:pStyle w:val="Heading2"/>
      </w:pPr>
      <w:r>
        <w:t>4.4 Translational Relevance to Tuberculosis</w:t>
      </w:r>
    </w:p>
    <w:p>
      <w:r>
        <w:t>The substantial overlap between leprosy and tuberculosis HDT targets underscores the shared mycobacterial host-pathogen interface. Both pathogens induce IDO1, exploit PD-1/PD-L1 signaling, and drive MMP-mediated tissue damage.</w:t>
      </w:r>
      <w:r>
        <w:rPr>
          <w:vertAlign w:val="superscript"/>
        </w:rPr>
        <w:t>16,35</w:t>
      </w:r>
      <w:r>
        <w:t xml:space="preserve"> This convergence has important implications: (1) HDT candidates validated for tuberculosis may accelerate leprosy drug development, (2) combined anti-mycobacterial HDT strategies could benefit patients with mixed infections in endemic regions, and (3) shared mechanistic insights may inform development of pan-mycobacterial host-targeted interventions.</w:t>
      </w:r>
    </w:p>
    <w:p>
      <w:pPr>
        <w:pStyle w:val="Heading2"/>
      </w:pPr>
      <w:r>
        <w:t>4.5 Limitations</w:t>
      </w:r>
    </w:p>
    <w:p>
      <w:r>
        <w:t>This study has several limitations. First, the analysis is entirely *in silico* and requires experimental validation in *M. leprae* infection models. Second, the 50-gene signature represents a curated subset of differentially expressed genes and may not capture the full complexity of leprosy immunopathology. Third, drug-drug interactions with MDT regimens (dapsone, rifampicin, clofazimine) were not evaluated computationally. Fourth, compound potency data from ChEMBL reflects *in vitro* activity that may not translate directly to clinical efficacy.</w:t>
      </w:r>
    </w:p>
    <w:p>
      <w:pPr>
        <w:pStyle w:val="Heading2"/>
      </w:pPr>
      <w:r>
        <w:t>4.6 Future Directions</w:t>
      </w:r>
    </w:p>
    <w:p>
      <w:r>
        <w:t>Validation studies should prioritize: (1) *in vitro* testing of top compounds in *M. leprae*-infected macrophage models, (2) evaluation in armadillo infection models (the only laboratory animal susceptible to systemic *M. leprae* infection), and (3) clinical trials of JAK inhibitors for refractory leprosy reactions. The pipeline architecture is adaptable for other neglected tropical diseases with available transcriptomic data.</w:t>
      </w:r>
    </w:p>
    <w:p>
      <w:r>
        <w:t>__________________________________________________</w:t>
      </w:r>
    </w:p>
    <w:p>
      <w:pPr>
        <w:pStyle w:val="Heading1"/>
      </w:pPr>
      <w:r>
        <w:t>5. CONCLUSIONS</w:t>
      </w:r>
    </w:p>
    <w:p>
      <w:r>
        <w:t>This study presents a systematic, reproducible computational approach for identifying host-directed therapy candidates in leprosy. We prioritized IDO1, PDL1, and JAK2 as high-priority druggable targets with strong literature validation supporting their role in leprosy immunopathology. The identification of FDA-approved JAK inhibitors as repurposable candidates, combined with published clinical evidence for Tofacitinib in ENL, provides a clear path for translational development. Given the substantial overlap with tuberculosis HDT targets, our findings suggest opportunities for developing shared host-directed strategies against mycobacterial infections. These results support developing adjunctive immunotherapies to complement conventional MDT and prevent leprosy-associated disability.</w:t>
      </w:r>
    </w:p>
    <w:p>
      <w:r>
        <w:t>__________________________________________________</w:t>
      </w:r>
    </w:p>
    <w:p>
      <w:pPr>
        <w:pStyle w:val="Heading1"/>
      </w:pPr>
      <w:r>
        <w:t>6. ACKNOWLEDGEMENTS</w:t>
      </w:r>
    </w:p>
    <w:p>
      <w:r>
        <w:t>The author acknowledges the ChEMBL team at EMBL-EBI for maintaining open-access bioactivity databases, the Open Targets consortium for druggability assessments, and the GEO database for hosting publicly accessible transcriptomic data. The author thanks the global leprosy research community for generating the foundational datasets that made this analysis possible.</w:t>
      </w:r>
    </w:p>
    <w:p>
      <w:r>
        <w:t>__________________________________________________</w:t>
      </w:r>
    </w:p>
    <w:p>
      <w:pPr>
        <w:pStyle w:val="Heading1"/>
      </w:pPr>
      <w:r>
        <w:t>REFERENCES</w:t>
      </w:r>
    </w:p>
    <w:p>
      <w:r>
        <w:t>1. World Health Organization. Leprosy elimination: an operational manual. Geneva: WHO; 2016.</w:t>
      </w:r>
    </w:p>
    <w:p>
      <w:r>
        <w:t>2. Lockwood DN, Suneetha S. Leprosy: too complex a disease for a simple elimination paradigm. Bull World Health Organ 2005; 83: 230-235.</w:t>
      </w:r>
    </w:p>
    <w:p>
      <w:r>
        <w:t>3. World Health Organization. Global leprosy update, 2022: moving towards a leprosy-free world. Wkly Epidemiol Rec 2023; 98: 409-430.</w:t>
      </w:r>
    </w:p>
    <w:p>
      <w:r>
        <w:t>4. Sermrittirong S, Van Brakel WH. How to reduce stigma in leprosy—a systematic literature review. Lepr Rev 2014; 85: 149-157.</w:t>
      </w:r>
    </w:p>
    <w:p>
      <w:r>
        <w:t>5. Ridley DS, Jopling WH. Classification of leprosy according to immunity: a five-group system. Int J Lepr Other Mycobact Dis 1966; 34: 255-273.</w:t>
      </w:r>
    </w:p>
    <w:p>
      <w:r>
        <w:t>6. Scollard DM, Adams LB, Gillis TP, et al. The continuing challenges of leprosy. Clin Microbiol Rev 2006; 19: 338-381.</w:t>
      </w:r>
    </w:p>
    <w:p>
      <w:r>
        <w:t>7. Walker SL, Nicholls PG, Butlin CR, et al. Development and validation of a severity scale for leprosy type 1 reactions. PLoS Negl Trop Dis 2008; 2: e351.</w:t>
      </w:r>
    </w:p>
    <w:p>
      <w:r>
        <w:t>8. Walker SL, Lockwood DN. Leprosy type 1 (reversal) reactions and their management. Lepr Rev 2008; 79: 372-386.</w:t>
      </w:r>
    </w:p>
    <w:p>
      <w:r>
        <w:t>9. Kahawita IP, Walker SL, Lockwood DN. Leprosy type 1 reactions and erythema nodosum leprosum. An Bras Dermatol 2008; 83: 75-82.</w:t>
      </w:r>
    </w:p>
    <w:p>
      <w:r>
        <w:t>10. World Health Organization. WHO Expert Committee on Leprosy: eighth report. World Health Organ Tech Rep Ser 2012; 968: 1-61.</w:t>
      </w:r>
    </w:p>
    <w:p>
      <w:r>
        <w:t>11. Walker SL, Waters MF, Lockwood DN. The role of thalidomide in the management of erythema nodosum leprosum. Lepr Rev 2007; 78: 197-215.</w:t>
      </w:r>
    </w:p>
    <w:p>
      <w:r>
        <w:t>12. Negera E, Walker SL, Girma S, et al. Clinico-pathological features of erythema nodosum leprosum: a case-control study at ALERT hospital, Ethiopia. PLoS Negl Trop Dis 2017; 11: e0006011.</w:t>
      </w:r>
    </w:p>
    <w:p>
      <w:r>
        <w:t>13. Kaufmann SHE, Dorhoi A, Hotchkiss RS, et al. Host-directed therapies for bacterial and viral infections. Nat Rev Drug Discov 2018; 17: 35-56.</w:t>
      </w:r>
    </w:p>
    <w:p>
      <w:r>
        <w:t>14. Hawn TR, Shah JA, Kalman D. New tricks for old dogs: countering antibiotic resistance in tuberculosis with host-directed therapeutics. Immunol Rev 2015; 264: 344-362.</w:t>
      </w:r>
    </w:p>
    <w:p>
      <w:r>
        <w:t>15. Zumla A, Maeurer M, Host-Directed Therapies Network. Host-directed therapies for tackling multi-drug resistant tuberculosis: learning from the Pasteur-Bechamp debates. Clin Infect Dis 2015; 61: 1432-1438.</w:t>
      </w:r>
    </w:p>
    <w:p>
      <w:r>
        <w:t>16. Wallis RS, Hafner R. Advancing host-directed therapy for tuberculosis. Nat Rev Immunol 2015; 15: 255-263.</w:t>
      </w:r>
    </w:p>
    <w:p>
      <w:r>
        <w:t>17. Cole ST, Eiglmeier K, Parkhill J, et al. Massive gene decay in the leprosy bacillus. Nature 2001; 409: 1007-1011.</w:t>
      </w:r>
    </w:p>
    <w:p>
      <w:r>
        <w:t>18. de Mattos Barbosa MG, da Silva Prata RB, Andrade PR, et al. Indoleamine 2,3-dioxygenase and iron are required for Mycobacterium leprae survival. Microbes Infect 2017; 19: 505-514.</w:t>
      </w:r>
    </w:p>
    <w:p>
      <w:r>
        <w:t>19. Palermo ML, Pagliari C, Trindade MA, et al. Increased expression of regulatory T cells and down-regulatory molecules in lepromatous leprosy. Am J Trop Med Hyg 2012; 86: 878-883.</w:t>
      </w:r>
    </w:p>
    <w:p>
      <w:r>
        <w:t>20. Truman RW, Krahenbuhl JL. Viable M. leprae as a research reagent. Int J Lepr Other Mycobact Dis 2001; 69: 1-12.</w:t>
      </w:r>
    </w:p>
    <w:p>
      <w:r>
        <w:t>21. Siddalingaiah HS. Multi-omics pipeline identifies Ruxolitinib and MMP9 inhibitors as host-directed therapy candidates for tuberculosis. Int J Tuberc Lung Dis 2024 (submitted).</w:t>
      </w:r>
    </w:p>
    <w:p>
      <w:r>
        <w:t>22. Wilkinson MD, Dumontier M, Aalbersberg IJ, et al. The FAIR guiding principles for scientific data management and stewardship. Sci Data 2016; 3: 160018.</w:t>
      </w:r>
    </w:p>
    <w:p>
      <w:r>
        <w:t>23. Barrett T, Wilhite SE, Ledoux P, et al. NCBI GEO: archive for functional genomics data sets—update. Nucleic Acids Res 2013; 41: D991-D995.</w:t>
      </w:r>
    </w:p>
    <w:p>
      <w:r>
        <w:t>24. Belone AF, Rosa PS, Trombone AP, et al. Genome-wide screening of mRNA expression in leprosy patients. Front Genet 2015; 6: 334.</w:t>
      </w:r>
    </w:p>
    <w:p>
      <w:r>
        <w:t>25. Montoya DJ, Andrade P, Silva BJ, et al. Dual RNA-Seq of human leprosy lesions identifies bacterial determinants linked to host immune response. Cell Rep 2019; 26: 3574-3585.</w:t>
      </w:r>
    </w:p>
    <w:p>
      <w:r>
        <w:t>26. Zavala K, Gottlieb CA, Bhattacharya S, et al. Blood transcriptomic profiles in leprosy patients across the clinical spectrum. Sci Rep 2021; 11: 18715.</w:t>
      </w:r>
    </w:p>
    <w:p>
      <w:r>
        <w:t>27. Blischak JD, Tailleux L, Myrber M, et al. Predicting susceptibility to tuberculosis based on gene expression profiling in dendritic cells. Sci Rep 2017; 7: 5702.</w:t>
      </w:r>
    </w:p>
    <w:p>
      <w:r>
        <w:t>28. Wu C, MacLeod I, Su AI. BioGPS and MyGene.info: organizing online, gene-centric information. Nucleic Acids Res 2013; 41: D561-D565.</w:t>
      </w:r>
    </w:p>
    <w:p>
      <w:r>
        <w:t>29. Ochoa D, Hercules A, Grau L, et al. Open Targets Platform: supporting systematic drug-target identification and prioritisation. Nucleic Acids Res 2021; 49: D1302-D1310.</w:t>
      </w:r>
    </w:p>
    <w:p>
      <w:r>
        <w:t>30. Zdrazil B, Felix E, Hunter F, et al. The ChEMBL Database in 2023: a drug discovery platform spanning multiple bioactivity data types. Nucleic Acids Res 2024; 52: D1180-D1192.</w:t>
      </w:r>
    </w:p>
    <w:p>
      <w:r>
        <w:t>31. Hunter JD. Matplotlib: a 2D graphics environment. Comput Sci Eng 2007; 9: 90-95.</w:t>
      </w:r>
    </w:p>
    <w:p>
      <w:r>
        <w:t>32. Thangaraju P, Vellaichamy S, Babu TR, et al. Tofacitinib: a novel therapeutic approach for chronic type II lepra reaction. Lepr Rev 2020; 91: 86-89.</w:t>
      </w:r>
    </w:p>
    <w:p>
      <w:r>
        <w:t>33. de Souza Sales J, Lara FA, Amadeu TP, et al. The role of indoleamine 2,3-dioxygenase in lepromatous leprosy immunosuppression. Clin Exp Immunol 2011; 165: 251-263.</w:t>
      </w:r>
    </w:p>
    <w:p>
      <w:r>
        <w:t>34. Bobosha K, Tang ST, van der Ploeg-van Schip JJ, et al. T-cell regulation in lepromatous leprosy. PLoS Negl Trop Dis 2014; 8: e2773.</w:t>
      </w:r>
    </w:p>
    <w:p>
      <w:r>
        <w:t>35. Cliff JM, Kaufmann SH, McShane H, et al. The human immune response to tuberculosis and its treatment: a view from the blood. Immunol Rev 2015; 264: 88-102.</w:t>
      </w:r>
    </w:p>
    <w:p>
      <w:r>
        <w:t>__________________________________________________</w:t>
      </w:r>
    </w:p>
    <w:p>
      <w:pPr>
        <w:pStyle w:val="Heading1"/>
      </w:pPr>
      <w:r>
        <w:t>FIGURE LEGENDS</w:t>
      </w:r>
    </w:p>
    <w:p>
      <w:r/>
      <w:r>
        <w:rPr>
          <w:b/>
        </w:rPr>
        <w:t>Figure 1:</w:t>
      </w:r>
      <w:r>
        <w:t xml:space="preserve"> Schematic overview of the computational pipeline for host-directed therapy target discovery in leprosy. The workflow integrates transcriptomic signatures from published studies (GEO datasets) with three public databases: MyGene.info for gene-protein mapping, Open Targets Platform for druggability assessment, and ChEMBL for compound bioactivity mining.</w:t>
      </w:r>
    </w:p>
    <w:p>
      <w:r/>
      <w:r>
        <w:rPr>
          <w:b/>
        </w:rPr>
        <w:t>Figure 2:</w:t>
      </w:r>
      <w:r>
        <w:t xml:space="preserve"> Target prioritization and compound discovery results. (A) Distribution of composite prioritization scores for 50 host targets. (B) Distribution of compound bioactivity (pChEMBL values) for 629 identified compounds; red dashed line indicates the 6.0 threshold (1 μM), green dashed line indicates 9.0 threshold (1 nM, highly potent). (C) Top 15 targets ranked by maximum compound potency.</w:t>
      </w:r>
    </w:p>
    <w:p>
      <w:r/>
      <w:r>
        <w:rPr>
          <w:b/>
        </w:rPr>
        <w:t>Figure 3:</w:t>
      </w:r>
      <w:r>
        <w:t xml:space="preserve"> Pathway enrichment heatmap showing the top 10 leprosy HDT targets and their relevance to key biological pathways including immune checkpoint signaling, JAK-STAT pathway, tryptophan metabolism, pattern recognition, and tissue remodeling.</w:t>
      </w:r>
    </w:p>
    <w:p>
      <w:r/>
      <w:r>
        <w:rPr>
          <w:b/>
        </w:rPr>
        <w:t>Figure 4:</w:t>
      </w:r>
      <w:r>
        <w:t xml:space="preserve"> Overlap between leprosy and tuberculosis host-directed therapy targets, highlighting shared mycobacterial immune evasion mechanisms and opportunities for dual-use therapeutic development.</w:t>
      </w:r>
    </w:p>
    <w:p>
      <w:r>
        <w:t>__________________________________________________</w:t>
      </w:r>
    </w:p>
    <w:p>
      <w:r>
        <w:t>*Manuscript prepared for submission to: PLoS Neglected Tropical Diseases (PNTD) – no publication fees for authors from low- and middle-income countries*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