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An Integrated Multi-omics and Chemoinformatics Pipeline Identifies IDO1, PDL1, and JAK2 as Host-Directed Therapy Candidates for Leprosy</w:t>
      </w:r>
    </w:p>
    <w:p/>
    <w:p>
      <w:r>
        <w:rPr>
          <w:b/>
        </w:rPr>
        <w:t xml:space="preserve">Running Title: </w:t>
      </w:r>
      <w:r>
        <w:t>Host-Directed Therapy Targets for Leprosy</w:t>
      </w:r>
    </w:p>
    <w:p/>
    <w:p>
      <w:r>
        <w:rPr>
          <w:b/>
        </w:rPr>
        <w:t xml:space="preserve">Authors: </w:t>
      </w:r>
      <w:r>
        <w:t>Siddalingaiah H S</w:t>
      </w:r>
      <w:r>
        <w:rPr>
          <w:vertAlign w:val="superscript"/>
        </w:rPr>
        <w:t>1*</w:t>
      </w:r>
    </w:p>
    <w:p/>
    <w:p>
      <w:r>
        <w:rPr>
          <w:b/>
        </w:rPr>
        <w:t xml:space="preserve">Affiliations: </w:t>
      </w:r>
      <w:r>
        <w:rPr>
          <w:vertAlign w:val="superscript"/>
        </w:rPr>
        <w:t>1</w:t>
      </w:r>
      <w:r>
        <w:t>Department of Community Medicine, Shridevi Institute of Medical Sciences and Research Hospital, Tumkur – 572106, Karnataka, India</w:t>
      </w:r>
    </w:p>
    <w:p/>
    <w:p>
      <w:r>
        <w:rPr>
          <w:b/>
        </w:rPr>
        <w:t xml:space="preserve">*Corresponding Author: </w:t>
      </w:r>
      <w:r>
        <w:t>Dr. Siddalingaiah H S, Professor, Department of Community Medicine, Shridevi Institute of Medical Sciences and Research Hospital, Tumkur – 572106, Karnataka, India. Email: hssling@yahoo.com; Phone: +91-8941087719; ORCID: 0000-0002-4771-8285</w:t>
      </w:r>
    </w:p>
    <w:p/>
    <w:p>
      <w:r>
        <w:rPr>
          <w:b/>
        </w:rPr>
        <w:t xml:space="preserve">Word Count: </w:t>
      </w:r>
      <w:r>
        <w:t xml:space="preserve">3,150 words | </w:t>
      </w:r>
      <w:r>
        <w:rPr>
          <w:b/>
        </w:rPr>
        <w:t xml:space="preserve">Tables: </w:t>
      </w:r>
      <w:r>
        <w:t xml:space="preserve">3 | </w:t>
      </w:r>
      <w:r>
        <w:rPr>
          <w:b/>
        </w:rPr>
        <w:t xml:space="preserve">Figures: </w:t>
      </w:r>
      <w:r>
        <w:t xml:space="preserve">4 | </w:t>
      </w:r>
      <w:r>
        <w:rPr>
          <w:b/>
        </w:rPr>
        <w:t xml:space="preserve">References: </w:t>
      </w:r>
      <w:r>
        <w:t>35</w:t>
      </w:r>
    </w:p>
    <w:p>
      <w:r>
        <w:br w:type="page"/>
      </w:r>
    </w:p>
    <w:p>
      <w:pPr>
        <w:pStyle w:val="Heading1"/>
      </w:pPr>
      <w:r>
        <w:t>ABSTRACT</w:t>
      </w:r>
    </w:p>
    <w:p>
      <w:r>
        <w:rPr>
          <w:b/>
        </w:rPr>
        <w:t>Background:</w:t>
      </w:r>
      <w:r>
        <w:t xml:space="preserve"> Leprosy (Hansen's disease), caused by Mycobacterium leprae, remains endemic in tropical countries with approximately 200,000 new cases annually. Despite effective multidrug therapy (MDT), leprosy reactions cause significant nerve damage and disability. Host-directed therapies (HDTs) represent an emerging strategy to modulate immune responses.</w:t>
      </w:r>
    </w:p>
    <w:p>
      <w:r>
        <w:rPr>
          <w:b/>
        </w:rPr>
        <w:t>Objectives:</w:t>
      </w:r>
      <w:r>
        <w:t xml:space="preserve"> To systematically identify druggable host targets and repurposable drug candidates for leprosy using an integrated multi-omics and chemoinformatics pipeline.</w:t>
      </w:r>
    </w:p>
    <w:p>
      <w:r>
        <w:rPr>
          <w:b/>
        </w:rPr>
        <w:t>Methods:</w:t>
      </w:r>
      <w:r>
        <w:t xml:space="preserve"> A 50-gene host signature was compiled from published leprosy transcriptomic studies (GEO datasets GSE16844, GSE125943, GSE129033, GSE74481). An automated Python pipeline integrated MyGene.info, Open Targets Platform, and ChEMBL database for target prioritization and compound mining.</w:t>
      </w:r>
    </w:p>
    <w:p>
      <w:r>
        <w:rPr>
          <w:b/>
        </w:rPr>
        <w:t>Results:</w:t>
      </w:r>
      <w:r>
        <w:t xml:space="preserve"> Fifty host targets were prioritized. Top candidates were VEGFA (score 0.525), PDL1/CD274 (0.449), IDO1 (0.386), CD38 (0.291), and IL10 (0.273). A total of 629 bioactive compounds (pChEMBL ≥6.0) were identified, including FDA-approved JAK inhibitors. Literature validation confirmed IDO1's role in immunosuppression, PDL1-mediated T-cell exhaustion, and Tofacitinib efficacy for chronic ENL.</w:t>
      </w:r>
    </w:p>
    <w:p>
      <w:r>
        <w:rPr>
          <w:b/>
        </w:rPr>
        <w:t>Conclusions:</w:t>
      </w:r>
      <w:r>
        <w:t xml:space="preserve"> IDO1, PDL1, and JAK2 emerged as high-priority HDT targets with strong literature validation. These findings support developing adjunctive immunotherapies beyond conventional MDT.</w:t>
      </w:r>
    </w:p>
    <w:p>
      <w:r>
        <w:rPr>
          <w:b/>
        </w:rPr>
        <w:t xml:space="preserve">Keywords: </w:t>
      </w:r>
      <w:r>
        <w:t>leprosy; host-directed therapy; IDO1; PD-L1; immune checkpoint; JAK2; drug repurposing; Mycobacterium leprae; tuberculosis</w:t>
      </w:r>
    </w:p>
    <w:p>
      <w:r>
        <w:br w:type="page"/>
      </w:r>
    </w:p>
    <w:p>
      <w:pPr>
        <w:pStyle w:val="Heading1"/>
      </w:pPr>
      <w:r>
        <w:t>1. INTRODUCTION</w:t>
      </w:r>
    </w:p>
    <w:p>
      <w:r>
        <w:t>Leprosy (Hansen's disease), a chronic granulomatous infection caused by the obligate intracellular pathogen Mycobacterium leprae, remains a significant public health concern despite being declared "eliminated as a public health problem" by the World Health Organization (WHO) in 2000.</w:t>
      </w:r>
      <w:r>
        <w:rPr>
          <w:vertAlign w:val="superscript"/>
        </w:rPr>
        <w:t>1,2</w:t>
      </w:r>
      <w:r>
        <w:t xml:space="preserve"> Approximately 200,000 new cases are registered annually, with India, Brazil, and Indonesia collectively accounting for over 80% of the global burden.</w:t>
      </w:r>
      <w:r>
        <w:rPr>
          <w:vertAlign w:val="superscript"/>
        </w:rPr>
        <w:t>3</w:t>
      </w:r>
      <w:r/>
    </w:p>
    <w:p>
      <w:r>
        <w:t>The clinical spectrum of leprosy reflects the host's immune response to M. leprae, ranging from the paucibacillary tuberculoid (TT) form with robust cell-mediated immunity to the multibacillary lepromatous (LL) form characterized by anergic responses.</w:t>
      </w:r>
      <w:r>
        <w:rPr>
          <w:vertAlign w:val="superscript"/>
        </w:rPr>
        <w:t>5,6</w:t>
      </w:r>
      <w:r>
        <w:t xml:space="preserve"> A critical challenge is the occurrence of leprosy reactions—immunologically mediated inflammatory episodes affecting up to 50% of patients.</w:t>
      </w:r>
      <w:r>
        <w:rPr>
          <w:vertAlign w:val="superscript"/>
        </w:rPr>
        <w:t>7</w:t>
      </w:r>
      <w:r>
        <w:t xml:space="preserve"> Type 1 reactions (reversal reactions, RR) and Type 2 reactions (erythema nodosum leprosum, ENL) cause acute neuritis, leading to irreversible nerve damage.</w:t>
      </w:r>
      <w:r>
        <w:rPr>
          <w:vertAlign w:val="superscript"/>
        </w:rPr>
        <w:t>8,9</w:t>
      </w:r>
      <w:r/>
    </w:p>
    <w:p>
      <w:r>
        <w:t>Host-directed therapies (HDTs) represent an emerging paradigm in infectious disease treatment, targeting host cellular pathways rather than pathogen-specific mechanisms.</w:t>
      </w:r>
      <w:r>
        <w:rPr>
          <w:vertAlign w:val="superscript"/>
        </w:rPr>
        <w:t>13,14</w:t>
      </w:r>
      <w:r>
        <w:t xml:space="preserve"> M. leprae has evolved sophisticated mechanisms to subvert host immunity, including induction of regulatory T cells, upregulation of inhibitory receptors such as PD-1, and metabolic reprogramming through indoleamine 2,3-dioxygenase 1 (IDO1).</w:t>
      </w:r>
      <w:r>
        <w:rPr>
          <w:vertAlign w:val="superscript"/>
        </w:rPr>
        <w:t>18,19</w:t>
      </w:r>
      <w:r/>
    </w:p>
    <w:p>
      <w:r>
        <w:t>In this study, we extended our previously validated tuberculosis HDT pipeline to leprosy, integrating published transcriptomic signatures with druggability assessments and compound bioactivity data to systematically identify host targets amenable to pharmacological intervention.</w:t>
      </w:r>
      <w:r>
        <w:rPr>
          <w:vertAlign w:val="superscript"/>
        </w:rPr>
        <w:t>21</w:t>
      </w:r>
      <w:r/>
    </w:p>
    <w:p>
      <w:pPr>
        <w:pStyle w:val="Heading1"/>
      </w:pPr>
      <w:r>
        <w:t>2. MATERIALS AND METHODS</w:t>
      </w:r>
    </w:p>
    <w:p>
      <w:pPr>
        <w:pStyle w:val="Heading2"/>
      </w:pPr>
      <w:r>
        <w:t>2.1 Study Design</w:t>
      </w:r>
    </w:p>
    <w:p>
      <w:r>
        <w:t>This computational, in silico study employed a systems biology approach to integrate publicly available leprosy transcriptomic data with chemical-genomic databases.</w:t>
      </w:r>
      <w:r>
        <w:rPr>
          <w:vertAlign w:val="superscript"/>
        </w:rPr>
        <w:t>22</w:t>
      </w:r>
      <w:r>
        <w:t xml:space="preserve"> The analysis was conducted in accordance with FAIR principles.</w:t>
      </w:r>
    </w:p>
    <w:p>
      <w:pPr>
        <w:pStyle w:val="Heading2"/>
      </w:pPr>
      <w:r>
        <w:t>2.2 Host Gene Signature Curation</w:t>
      </w:r>
    </w:p>
    <w:p>
      <w:r>
        <w:t>A 50-gene leprosy host signature was compiled from GEO datasets: GSE16844 (skin lesions),</w:t>
      </w:r>
      <w:r>
        <w:rPr>
          <w:vertAlign w:val="superscript"/>
        </w:rPr>
        <w:t>24</w:t>
      </w:r>
      <w:r>
        <w:t xml:space="preserve"> GSE125943 (whole blood),</w:t>
      </w:r>
      <w:r>
        <w:rPr>
          <w:vertAlign w:val="superscript"/>
        </w:rPr>
        <w:t>25</w:t>
      </w:r>
      <w:r>
        <w:t xml:space="preserve"> GSE129033 (PBMCs),</w:t>
      </w:r>
      <w:r>
        <w:rPr>
          <w:vertAlign w:val="superscript"/>
        </w:rPr>
        <w:t>26</w:t>
      </w:r>
      <w:r>
        <w:t xml:space="preserve"> and GSE74481 (skin transcriptomes).</w:t>
      </w:r>
      <w:r>
        <w:rPr>
          <w:vertAlign w:val="superscript"/>
        </w:rPr>
        <w:t>27</w:t>
      </w:r>
      <w:r>
        <w:t xml:space="preserve"> Genes were selected based on |log₂FC| ≥1.0 and adjusted p-value &lt;0.05.</w:t>
      </w:r>
    </w:p>
    <w:p>
      <w:pPr>
        <w:pStyle w:val="Heading2"/>
      </w:pPr>
      <w:r>
        <w:t>2.3 Computational Pipeline</w:t>
      </w:r>
    </w:p>
    <w:p>
      <w:r>
        <w:t>The automated pipeline (Python 3.12) integrated: MyGene.info for gene-protein mapping,</w:t>
      </w:r>
      <w:r>
        <w:rPr>
          <w:vertAlign w:val="superscript"/>
        </w:rPr>
        <w:t>28</w:t>
      </w:r>
      <w:r>
        <w:t xml:space="preserve"> Open Targets Platform for druggability assessment,</w:t>
      </w:r>
      <w:r>
        <w:rPr>
          <w:vertAlign w:val="superscript"/>
        </w:rPr>
        <w:t>29</w:t>
      </w:r>
      <w:r>
        <w:t xml:space="preserve"> and ChEMBL database (v33) for compound bioactivity mining.</w:t>
      </w:r>
      <w:r>
        <w:rPr>
          <w:vertAlign w:val="superscript"/>
        </w:rPr>
        <w:t>30</w:t>
      </w:r>
      <w:r/>
    </w:p>
    <w:p>
      <w:pPr>
        <w:pStyle w:val="Heading2"/>
      </w:pPr>
      <w:r>
        <w:t>2.4 Target Prioritization Algorithm</w:t>
      </w:r>
    </w:p>
    <w:p>
      <w:r>
        <w:rPr>
          <w:i/>
        </w:rPr>
        <w:t>Composite Score = 0.35 × Omics_Strength + 0.25 × OpenTargets_Evidence + 0.20 × Druggability_Proxy + 0.10 × Pathway_Centrality + 0.10 × Replication</w:t>
      </w:r>
    </w:p>
    <w:p>
      <w:r>
        <w:br w:type="page"/>
      </w:r>
    </w:p>
    <w:p>
      <w:pPr>
        <w:pStyle w:val="Heading1"/>
      </w:pPr>
      <w:r>
        <w:t>3. RESULTS</w:t>
      </w:r>
    </w:p>
    <w:p>
      <w:pPr>
        <w:pStyle w:val="Heading2"/>
      </w:pPr>
      <w:r>
        <w:t>3.1 Host Target Prioritization</w:t>
      </w:r>
    </w:p>
    <w:p>
      <w:r>
        <w:t>The pipeline successfully processed the 50-gene leprosy signature. Scores ranged from 0.013 to 0.525, with median 0.113. The top 10 targets are presented in Table 1.</w:t>
      </w:r>
    </w:p>
    <w:p/>
    <w:p>
      <w:r>
        <w:rPr>
          <w:b/>
        </w:rPr>
        <w:t>Table 1: Top 10 Host-Directed Therapy Target Candidates for Leprosy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Rank</w:t>
            </w:r>
          </w:p>
        </w:tc>
        <w:tc>
          <w:tcPr>
            <w:tcW w:type="dxa" w:w="1728"/>
            <w:shd w:fill="D9E2F3"/>
          </w:tcPr>
          <w:p>
            <w:r>
              <w:rPr>
                <w:b/>
              </w:rPr>
              <w:t>Gene</w:t>
            </w:r>
          </w:p>
        </w:tc>
        <w:tc>
          <w:tcPr>
            <w:tcW w:type="dxa" w:w="1728"/>
            <w:shd w:fill="D9E2F3"/>
          </w:tcPr>
          <w:p>
            <w:r>
              <w:rPr>
                <w:b/>
              </w:rPr>
              <w:t>Protein</w:t>
            </w:r>
          </w:p>
        </w:tc>
        <w:tc>
          <w:tcPr>
            <w:tcW w:type="dxa" w:w="1728"/>
            <w:shd w:fill="D9E2F3"/>
          </w:tcPr>
          <w:p>
            <w:r>
              <w:rPr>
                <w:b/>
              </w:rPr>
              <w:t>Score</w:t>
            </w:r>
          </w:p>
        </w:tc>
        <w:tc>
          <w:tcPr>
            <w:tcW w:type="dxa" w:w="1728"/>
            <w:shd w:fill="D9E2F3"/>
          </w:tcPr>
          <w:p>
            <w:r>
              <w:rPr>
                <w:b/>
              </w:rPr>
              <w:t>Leprosy Relevance</w:t>
            </w:r>
          </w:p>
        </w:tc>
      </w:tr>
      <w:tr>
        <w:tc>
          <w:tcPr>
            <w:tcW w:type="dxa" w:w="1728"/>
          </w:tcPr>
          <w:p>
            <w:r>
              <w:t>1</w:t>
            </w:r>
          </w:p>
        </w:tc>
        <w:tc>
          <w:tcPr>
            <w:tcW w:type="dxa" w:w="1728"/>
          </w:tcPr>
          <w:p>
            <w:r>
              <w:t>VEGFA</w:t>
            </w:r>
          </w:p>
        </w:tc>
        <w:tc>
          <w:tcPr>
            <w:tcW w:type="dxa" w:w="1728"/>
          </w:tcPr>
          <w:p>
            <w:r>
              <w:t>Vascular Endothelial Growth Factor A</w:t>
            </w:r>
          </w:p>
        </w:tc>
        <w:tc>
          <w:tcPr>
            <w:tcW w:type="dxa" w:w="1728"/>
          </w:tcPr>
          <w:p>
            <w:r>
              <w:t>0.525</w:t>
            </w:r>
          </w:p>
        </w:tc>
        <w:tc>
          <w:tcPr>
            <w:tcW w:type="dxa" w:w="1728"/>
          </w:tcPr>
          <w:p>
            <w:r>
              <w:t>Granuloma angiogenesis</w:t>
            </w:r>
          </w:p>
        </w:tc>
      </w:tr>
      <w:tr>
        <w:tc>
          <w:tcPr>
            <w:tcW w:type="dxa" w:w="1728"/>
          </w:tcPr>
          <w:p>
            <w:r>
              <w:t>2</w:t>
            </w:r>
          </w:p>
        </w:tc>
        <w:tc>
          <w:tcPr>
            <w:tcW w:type="dxa" w:w="1728"/>
          </w:tcPr>
          <w:p>
            <w:r>
              <w:t>PDL1</w:t>
            </w:r>
          </w:p>
        </w:tc>
        <w:tc>
          <w:tcPr>
            <w:tcW w:type="dxa" w:w="1728"/>
          </w:tcPr>
          <w:p>
            <w:r>
              <w:t>Programmed Death Ligand 1</w:t>
            </w:r>
          </w:p>
        </w:tc>
        <w:tc>
          <w:tcPr>
            <w:tcW w:type="dxa" w:w="1728"/>
          </w:tcPr>
          <w:p>
            <w:r>
              <w:t>0.449</w:t>
            </w:r>
          </w:p>
        </w:tc>
        <w:tc>
          <w:tcPr>
            <w:tcW w:type="dxa" w:w="1728"/>
          </w:tcPr>
          <w:p>
            <w:r>
              <w:t>T-cell exhaustion</w:t>
            </w:r>
          </w:p>
        </w:tc>
      </w:tr>
      <w:tr>
        <w:tc>
          <w:tcPr>
            <w:tcW w:type="dxa" w:w="1728"/>
          </w:tcPr>
          <w:p>
            <w:r>
              <w:t>3</w:t>
            </w:r>
          </w:p>
        </w:tc>
        <w:tc>
          <w:tcPr>
            <w:tcW w:type="dxa" w:w="1728"/>
          </w:tcPr>
          <w:p>
            <w:r>
              <w:t>IDO1</w:t>
            </w:r>
          </w:p>
        </w:tc>
        <w:tc>
          <w:tcPr>
            <w:tcW w:type="dxa" w:w="1728"/>
          </w:tcPr>
          <w:p>
            <w:r>
              <w:t>Indoleamine 2,3-Dioxygenase 1</w:t>
            </w:r>
          </w:p>
        </w:tc>
        <w:tc>
          <w:tcPr>
            <w:tcW w:type="dxa" w:w="1728"/>
          </w:tcPr>
          <w:p>
            <w:r>
              <w:t>0.386</w:t>
            </w:r>
          </w:p>
        </w:tc>
        <w:tc>
          <w:tcPr>
            <w:tcW w:type="dxa" w:w="1728"/>
          </w:tcPr>
          <w:p>
            <w:r>
              <w:t>Tryptophan catabolism</w:t>
            </w:r>
          </w:p>
        </w:tc>
      </w:tr>
      <w:tr>
        <w:tc>
          <w:tcPr>
            <w:tcW w:type="dxa" w:w="1728"/>
          </w:tcPr>
          <w:p>
            <w:r>
              <w:t>4</w:t>
            </w:r>
          </w:p>
        </w:tc>
        <w:tc>
          <w:tcPr>
            <w:tcW w:type="dxa" w:w="1728"/>
          </w:tcPr>
          <w:p>
            <w:r>
              <w:t>CD38</w:t>
            </w:r>
          </w:p>
        </w:tc>
        <w:tc>
          <w:tcPr>
            <w:tcW w:type="dxa" w:w="1728"/>
          </w:tcPr>
          <w:p>
            <w:r>
              <w:t>CD38 Molecule</w:t>
            </w:r>
          </w:p>
        </w:tc>
        <w:tc>
          <w:tcPr>
            <w:tcW w:type="dxa" w:w="1728"/>
          </w:tcPr>
          <w:p>
            <w:r>
              <w:t>0.291</w:t>
            </w:r>
          </w:p>
        </w:tc>
        <w:tc>
          <w:tcPr>
            <w:tcW w:type="dxa" w:w="1728"/>
          </w:tcPr>
          <w:p>
            <w:r>
              <w:t>B-cell marker</w:t>
            </w:r>
          </w:p>
        </w:tc>
      </w:tr>
      <w:tr>
        <w:tc>
          <w:tcPr>
            <w:tcW w:type="dxa" w:w="1728"/>
          </w:tcPr>
          <w:p>
            <w:r>
              <w:t>5</w:t>
            </w:r>
          </w:p>
        </w:tc>
        <w:tc>
          <w:tcPr>
            <w:tcW w:type="dxa" w:w="1728"/>
          </w:tcPr>
          <w:p>
            <w:r>
              <w:t>IL10</w:t>
            </w:r>
          </w:p>
        </w:tc>
        <w:tc>
          <w:tcPr>
            <w:tcW w:type="dxa" w:w="1728"/>
          </w:tcPr>
          <w:p>
            <w:r>
              <w:t>Interleukin 10</w:t>
            </w:r>
          </w:p>
        </w:tc>
        <w:tc>
          <w:tcPr>
            <w:tcW w:type="dxa" w:w="1728"/>
          </w:tcPr>
          <w:p>
            <w:r>
              <w:t>0.273</w:t>
            </w:r>
          </w:p>
        </w:tc>
        <w:tc>
          <w:tcPr>
            <w:tcW w:type="dxa" w:w="1728"/>
          </w:tcPr>
          <w:p>
            <w:r>
              <w:t>Anti-inflammatory</w:t>
            </w:r>
          </w:p>
        </w:tc>
      </w:tr>
      <w:tr>
        <w:tc>
          <w:tcPr>
            <w:tcW w:type="dxa" w:w="1728"/>
          </w:tcPr>
          <w:p>
            <w:r>
              <w:t>6</w:t>
            </w:r>
          </w:p>
        </w:tc>
        <w:tc>
          <w:tcPr>
            <w:tcW w:type="dxa" w:w="1728"/>
          </w:tcPr>
          <w:p>
            <w:r>
              <w:t>VDR</w:t>
            </w:r>
          </w:p>
        </w:tc>
        <w:tc>
          <w:tcPr>
            <w:tcW w:type="dxa" w:w="1728"/>
          </w:tcPr>
          <w:p>
            <w:r>
              <w:t>Vitamin D Receptor</w:t>
            </w:r>
          </w:p>
        </w:tc>
        <w:tc>
          <w:tcPr>
            <w:tcW w:type="dxa" w:w="1728"/>
          </w:tcPr>
          <w:p>
            <w:r>
              <w:t>0.271</w:t>
            </w:r>
          </w:p>
        </w:tc>
        <w:tc>
          <w:tcPr>
            <w:tcW w:type="dxa" w:w="1728"/>
          </w:tcPr>
          <w:p>
            <w:r>
              <w:t>Antimicrobial peptides</w:t>
            </w:r>
          </w:p>
        </w:tc>
      </w:tr>
      <w:tr>
        <w:tc>
          <w:tcPr>
            <w:tcW w:type="dxa" w:w="1728"/>
          </w:tcPr>
          <w:p>
            <w:r>
              <w:t>7</w:t>
            </w:r>
          </w:p>
        </w:tc>
        <w:tc>
          <w:tcPr>
            <w:tcW w:type="dxa" w:w="1728"/>
          </w:tcPr>
          <w:p>
            <w:r>
              <w:t>BLK</w:t>
            </w:r>
          </w:p>
        </w:tc>
        <w:tc>
          <w:tcPr>
            <w:tcW w:type="dxa" w:w="1728"/>
          </w:tcPr>
          <w:p>
            <w:r>
              <w:t>B Lymphoid Kinase</w:t>
            </w:r>
          </w:p>
        </w:tc>
        <w:tc>
          <w:tcPr>
            <w:tcW w:type="dxa" w:w="1728"/>
          </w:tcPr>
          <w:p>
            <w:r>
              <w:t>0.270</w:t>
            </w:r>
          </w:p>
        </w:tc>
        <w:tc>
          <w:tcPr>
            <w:tcW w:type="dxa" w:w="1728"/>
          </w:tcPr>
          <w:p>
            <w:r>
              <w:t>B-cell signaling</w:t>
            </w:r>
          </w:p>
        </w:tc>
      </w:tr>
      <w:tr>
        <w:tc>
          <w:tcPr>
            <w:tcW w:type="dxa" w:w="1728"/>
          </w:tcPr>
          <w:p>
            <w:r>
              <w:t>8</w:t>
            </w:r>
          </w:p>
        </w:tc>
        <w:tc>
          <w:tcPr>
            <w:tcW w:type="dxa" w:w="1728"/>
          </w:tcPr>
          <w:p>
            <w:r>
              <w:t>JAK2</w:t>
            </w:r>
          </w:p>
        </w:tc>
        <w:tc>
          <w:tcPr>
            <w:tcW w:type="dxa" w:w="1728"/>
          </w:tcPr>
          <w:p>
            <w:r>
              <w:t>Janus Kinase 2</w:t>
            </w:r>
          </w:p>
        </w:tc>
        <w:tc>
          <w:tcPr>
            <w:tcW w:type="dxa" w:w="1728"/>
          </w:tcPr>
          <w:p>
            <w:r>
              <w:t>0.263</w:t>
            </w:r>
          </w:p>
        </w:tc>
        <w:tc>
          <w:tcPr>
            <w:tcW w:type="dxa" w:w="1728"/>
          </w:tcPr>
          <w:p>
            <w:r>
              <w:t>Cytokine signaling</w:t>
            </w:r>
          </w:p>
        </w:tc>
      </w:tr>
      <w:tr>
        <w:tc>
          <w:tcPr>
            <w:tcW w:type="dxa" w:w="1728"/>
          </w:tcPr>
          <w:p>
            <w:r>
              <w:t>9</w:t>
            </w:r>
          </w:p>
        </w:tc>
        <w:tc>
          <w:tcPr>
            <w:tcW w:type="dxa" w:w="1728"/>
          </w:tcPr>
          <w:p>
            <w:r>
              <w:t>CXCL10</w:t>
            </w:r>
          </w:p>
        </w:tc>
        <w:tc>
          <w:tcPr>
            <w:tcW w:type="dxa" w:w="1728"/>
          </w:tcPr>
          <w:p>
            <w:r>
              <w:t>C-X-C Chemokine Ligand 10</w:t>
            </w:r>
          </w:p>
        </w:tc>
        <w:tc>
          <w:tcPr>
            <w:tcW w:type="dxa" w:w="1728"/>
          </w:tcPr>
          <w:p>
            <w:r>
              <w:t>0.263</w:t>
            </w:r>
          </w:p>
        </w:tc>
        <w:tc>
          <w:tcPr>
            <w:tcW w:type="dxa" w:w="1728"/>
          </w:tcPr>
          <w:p>
            <w:r>
              <w:t>T-cell recruitment</w:t>
            </w:r>
          </w:p>
        </w:tc>
      </w:tr>
      <w:tr>
        <w:tc>
          <w:tcPr>
            <w:tcW w:type="dxa" w:w="1728"/>
          </w:tcPr>
          <w:p>
            <w:r>
              <w:t>10</w:t>
            </w:r>
          </w:p>
        </w:tc>
        <w:tc>
          <w:tcPr>
            <w:tcW w:type="dxa" w:w="1728"/>
          </w:tcPr>
          <w:p>
            <w:r>
              <w:t>CTLA4</w:t>
            </w:r>
          </w:p>
        </w:tc>
        <w:tc>
          <w:tcPr>
            <w:tcW w:type="dxa" w:w="1728"/>
          </w:tcPr>
          <w:p>
            <w:r>
              <w:t>Cytotoxic T-Lymphocyte Antigen 4</w:t>
            </w:r>
          </w:p>
        </w:tc>
        <w:tc>
          <w:tcPr>
            <w:tcW w:type="dxa" w:w="1728"/>
          </w:tcPr>
          <w:p>
            <w:r>
              <w:t>0.259</w:t>
            </w:r>
          </w:p>
        </w:tc>
        <w:tc>
          <w:tcPr>
            <w:tcW w:type="dxa" w:w="1728"/>
          </w:tcPr>
          <w:p>
            <w:r>
              <w:t>Immune checkpoint</w:t>
            </w:r>
          </w:p>
        </w:tc>
      </w:tr>
    </w:tbl>
    <w:p/>
    <w:p>
      <w:r>
        <w:rPr>
          <w:b/>
        </w:rPr>
        <w:t>Figure 1: Top 20 Host-Directed Therapy Targets for Leprosy</w:t>
      </w:r>
    </w:p>
    <w:p>
      <w:pPr>
        <w:jc w:val="center"/>
      </w:pPr>
      <w:r>
        <w:drawing>
          <wp:inline xmlns:a="http://schemas.openxmlformats.org/drawingml/2006/main" xmlns:pic="http://schemas.openxmlformats.org/drawingml/2006/picture">
            <wp:extent cx="5029200" cy="4011164"/>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4011164"/>
                    </a:xfrm>
                    <a:prstGeom prst="rect"/>
                  </pic:spPr>
                </pic:pic>
              </a:graphicData>
            </a:graphic>
          </wp:inline>
        </w:drawing>
      </w:r>
    </w:p>
    <w:p/>
    <w:p>
      <w:pPr>
        <w:pStyle w:val="Heading2"/>
      </w:pPr>
      <w:r>
        <w:t>3.2 Compound Discovery</w:t>
      </w:r>
    </w:p>
    <w:p>
      <w:r>
        <w:t>For overlapping targets, 629 bioactive compounds with pChEMBL ≥6.0 were identified. 89 compounds (14.1%) demonstrated sub-nanomolar activity (pChEMBL ≥9.0). Key drug candidates are shown in Table 2.</w:t>
      </w:r>
    </w:p>
    <w:p/>
    <w:p>
      <w:r>
        <w:rPr>
          <w:b/>
        </w:rPr>
        <w:t>Table 2: Clinically Advanced Drug Candidates for Leprosy HDT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r>
              <w:rPr>
                <w:b/>
              </w:rPr>
              <w:t>Drug</w:t>
            </w:r>
          </w:p>
        </w:tc>
        <w:tc>
          <w:tcPr>
            <w:tcW w:type="dxa" w:w="1728"/>
            <w:shd w:fill="D9E2F3"/>
          </w:tcPr>
          <w:p>
            <w:r>
              <w:rPr>
                <w:b/>
              </w:rPr>
              <w:t>Target</w:t>
            </w:r>
          </w:p>
        </w:tc>
        <w:tc>
          <w:tcPr>
            <w:tcW w:type="dxa" w:w="1728"/>
            <w:shd w:fill="D9E2F3"/>
          </w:tcPr>
          <w:p>
            <w:r>
              <w:rPr>
                <w:b/>
              </w:rPr>
              <w:t>pChEMBL</w:t>
            </w:r>
          </w:p>
        </w:tc>
        <w:tc>
          <w:tcPr>
            <w:tcW w:type="dxa" w:w="1728"/>
            <w:shd w:fill="D9E2F3"/>
          </w:tcPr>
          <w:p>
            <w:r>
              <w:rPr>
                <w:b/>
              </w:rPr>
              <w:t>Phase</w:t>
            </w:r>
          </w:p>
        </w:tc>
        <w:tc>
          <w:tcPr>
            <w:tcW w:type="dxa" w:w="1728"/>
            <w:shd w:fill="D9E2F3"/>
          </w:tcPr>
          <w:p>
            <w:r>
              <w:rPr>
                <w:b/>
              </w:rPr>
              <w:t>Evidence</w:t>
            </w:r>
          </w:p>
        </w:tc>
      </w:tr>
      <w:tr>
        <w:tc>
          <w:tcPr>
            <w:tcW w:type="dxa" w:w="1728"/>
          </w:tcPr>
          <w:p>
            <w:r>
              <w:t>Tofacitinib</w:t>
            </w:r>
          </w:p>
        </w:tc>
        <w:tc>
          <w:tcPr>
            <w:tcW w:type="dxa" w:w="1728"/>
          </w:tcPr>
          <w:p>
            <w:r>
              <w:t>JAK1/2/3</w:t>
            </w:r>
          </w:p>
        </w:tc>
        <w:tc>
          <w:tcPr>
            <w:tcW w:type="dxa" w:w="1728"/>
          </w:tcPr>
          <w:p>
            <w:r>
              <w:t>7.41</w:t>
            </w:r>
          </w:p>
        </w:tc>
        <w:tc>
          <w:tcPr>
            <w:tcW w:type="dxa" w:w="1728"/>
          </w:tcPr>
          <w:p>
            <w:r>
              <w:t>4 (Approved)</w:t>
            </w:r>
          </w:p>
        </w:tc>
        <w:tc>
          <w:tcPr>
            <w:tcW w:type="dxa" w:w="1728"/>
          </w:tcPr>
          <w:p>
            <w:r>
              <w:t>Published for ENL</w:t>
            </w:r>
          </w:p>
        </w:tc>
      </w:tr>
      <w:tr>
        <w:tc>
          <w:tcPr>
            <w:tcW w:type="dxa" w:w="1728"/>
          </w:tcPr>
          <w:p>
            <w:r>
              <w:t>Ruxolitinib</w:t>
            </w:r>
          </w:p>
        </w:tc>
        <w:tc>
          <w:tcPr>
            <w:tcW w:type="dxa" w:w="1728"/>
          </w:tcPr>
          <w:p>
            <w:r>
              <w:t>JAK1/2</w:t>
            </w:r>
          </w:p>
        </w:tc>
        <w:tc>
          <w:tcPr>
            <w:tcW w:type="dxa" w:w="1728"/>
          </w:tcPr>
          <w:p>
            <w:r>
              <w:t>7.51</w:t>
            </w:r>
          </w:p>
        </w:tc>
        <w:tc>
          <w:tcPr>
            <w:tcW w:type="dxa" w:w="1728"/>
          </w:tcPr>
          <w:p>
            <w:r>
              <w:t>4 (Approved)</w:t>
            </w:r>
          </w:p>
        </w:tc>
        <w:tc>
          <w:tcPr>
            <w:tcW w:type="dxa" w:w="1728"/>
          </w:tcPr>
          <w:p>
            <w:r>
              <w:t>Immunomodulation</w:t>
            </w:r>
          </w:p>
        </w:tc>
      </w:tr>
      <w:tr>
        <w:tc>
          <w:tcPr>
            <w:tcW w:type="dxa" w:w="1728"/>
          </w:tcPr>
          <w:p>
            <w:r>
              <w:t>Baricitinib</w:t>
            </w:r>
          </w:p>
        </w:tc>
        <w:tc>
          <w:tcPr>
            <w:tcW w:type="dxa" w:w="1728"/>
          </w:tcPr>
          <w:p>
            <w:r>
              <w:t>JAK1/2</w:t>
            </w:r>
          </w:p>
        </w:tc>
        <w:tc>
          <w:tcPr>
            <w:tcW w:type="dxa" w:w="1728"/>
          </w:tcPr>
          <w:p>
            <w:r>
              <w:t>7.80</w:t>
            </w:r>
          </w:p>
        </w:tc>
        <w:tc>
          <w:tcPr>
            <w:tcW w:type="dxa" w:w="1728"/>
          </w:tcPr>
          <w:p>
            <w:r>
              <w:t>4 (Approved)</w:t>
            </w:r>
          </w:p>
        </w:tc>
        <w:tc>
          <w:tcPr>
            <w:tcW w:type="dxa" w:w="1728"/>
          </w:tcPr>
          <w:p>
            <w:r>
              <w:t>Anti-inflammatory</w:t>
            </w:r>
          </w:p>
        </w:tc>
      </w:tr>
      <w:tr>
        <w:tc>
          <w:tcPr>
            <w:tcW w:type="dxa" w:w="1728"/>
          </w:tcPr>
          <w:p>
            <w:r>
              <w:t>Upadacitinib</w:t>
            </w:r>
          </w:p>
        </w:tc>
        <w:tc>
          <w:tcPr>
            <w:tcW w:type="dxa" w:w="1728"/>
          </w:tcPr>
          <w:p>
            <w:r>
              <w:t>JAK1/2</w:t>
            </w:r>
          </w:p>
        </w:tc>
        <w:tc>
          <w:tcPr>
            <w:tcW w:type="dxa" w:w="1728"/>
          </w:tcPr>
          <w:p>
            <w:r>
              <w:t>8.52</w:t>
            </w:r>
          </w:p>
        </w:tc>
        <w:tc>
          <w:tcPr>
            <w:tcW w:type="dxa" w:w="1728"/>
          </w:tcPr>
          <w:p>
            <w:r>
              <w:t>4 (Approved)</w:t>
            </w:r>
          </w:p>
        </w:tc>
        <w:tc>
          <w:tcPr>
            <w:tcW w:type="dxa" w:w="1728"/>
          </w:tcPr>
          <w:p>
            <w:r>
              <w:t>High potency</w:t>
            </w:r>
          </w:p>
        </w:tc>
      </w:tr>
      <w:tr>
        <w:tc>
          <w:tcPr>
            <w:tcW w:type="dxa" w:w="1728"/>
          </w:tcPr>
          <w:p>
            <w:r>
              <w:t>Ilomastat</w:t>
            </w:r>
          </w:p>
        </w:tc>
        <w:tc>
          <w:tcPr>
            <w:tcW w:type="dxa" w:w="1728"/>
          </w:tcPr>
          <w:p>
            <w:r>
              <w:t>MMP9</w:t>
            </w:r>
          </w:p>
        </w:tc>
        <w:tc>
          <w:tcPr>
            <w:tcW w:type="dxa" w:w="1728"/>
          </w:tcPr>
          <w:p>
            <w:r>
              <w:t>10.30</w:t>
            </w:r>
          </w:p>
        </w:tc>
        <w:tc>
          <w:tcPr>
            <w:tcW w:type="dxa" w:w="1728"/>
          </w:tcPr>
          <w:p>
            <w:r>
              <w:t>2</w:t>
            </w:r>
          </w:p>
        </w:tc>
        <w:tc>
          <w:tcPr>
            <w:tcW w:type="dxa" w:w="1728"/>
          </w:tcPr>
          <w:p>
            <w:r>
              <w:t>Tissue protection</w:t>
            </w:r>
          </w:p>
        </w:tc>
      </w:tr>
    </w:tbl>
    <w:p/>
    <w:p>
      <w:r>
        <w:rPr>
          <w:b/>
        </w:rPr>
        <w:t>Figure 2: Distribution of Compound Bioactivity</w:t>
      </w:r>
    </w:p>
    <w:p>
      <w:pPr>
        <w:jc w:val="center"/>
      </w:pPr>
      <w:r>
        <w:drawing>
          <wp:inline xmlns:a="http://schemas.openxmlformats.org/drawingml/2006/main" xmlns:pic="http://schemas.openxmlformats.org/drawingml/2006/picture">
            <wp:extent cx="5029200" cy="2995831"/>
            <wp:docPr id="2" name="Picture 2"/>
            <wp:cNvGraphicFramePr>
              <a:graphicFrameLocks noChangeAspect="1"/>
            </wp:cNvGraphicFramePr>
            <a:graphic>
              <a:graphicData uri="http://schemas.openxmlformats.org/drawingml/2006/picture">
                <pic:pic>
                  <pic:nvPicPr>
                    <pic:cNvPr id="0" name="figure2_compound_distribution.png"/>
                    <pic:cNvPicPr/>
                  </pic:nvPicPr>
                  <pic:blipFill>
                    <a:blip r:embed="rId10"/>
                    <a:stretch>
                      <a:fillRect/>
                    </a:stretch>
                  </pic:blipFill>
                  <pic:spPr>
                    <a:xfrm>
                      <a:off x="0" y="0"/>
                      <a:ext cx="5029200" cy="2995831"/>
                    </a:xfrm>
                    <a:prstGeom prst="rect"/>
                  </pic:spPr>
                </pic:pic>
              </a:graphicData>
            </a:graphic>
          </wp:inline>
        </w:drawing>
      </w:r>
    </w:p>
    <w:p>
      <w:r>
        <w:br w:type="page"/>
      </w:r>
    </w:p>
    <w:p>
      <w:pPr>
        <w:pStyle w:val="Heading2"/>
      </w:pPr>
      <w:r>
        <w:t>3.3 Literature Validation</w:t>
      </w:r>
    </w:p>
    <w:p>
      <w:r>
        <w:rPr>
          <w:b/>
        </w:rPr>
        <w:t xml:space="preserve">IDO1 (Rank 3): </w:t>
      </w:r>
      <w:r>
        <w:t>IDO1 is robustly validated in leprosy literature. De Mattos Barbosa et al. demonstrated that M. leprae induces IDO1 expression in monocytes via IL-10-dependent mechanisms.</w:t>
      </w:r>
      <w:r>
        <w:rPr>
          <w:vertAlign w:val="superscript"/>
        </w:rPr>
        <w:t>18</w:t>
      </w:r>
      <w:r>
        <w:t xml:space="preserve"> IDO1 expression is significantly elevated in lepromatous lesions.</w:t>
      </w:r>
      <w:r>
        <w:rPr>
          <w:vertAlign w:val="superscript"/>
        </w:rPr>
        <w:t>33</w:t>
      </w:r>
      <w:r/>
    </w:p>
    <w:p>
      <w:r>
        <w:rPr>
          <w:b/>
        </w:rPr>
        <w:t xml:space="preserve">PDL1/CD274 (Rank 2): </w:t>
      </w:r>
      <w:r>
        <w:t>PD-1/PD-L1 signaling is critically implicated in leprosy immunopathology. Palermo et al. demonstrated elevated PD-1 expression on T cells in lepromatous patients.</w:t>
      </w:r>
      <w:r>
        <w:rPr>
          <w:vertAlign w:val="superscript"/>
        </w:rPr>
        <w:t>19</w:t>
      </w:r>
      <w:r>
        <w:t xml:space="preserve"> In vitro blockade restores IFN-γ production.</w:t>
      </w:r>
      <w:r>
        <w:rPr>
          <w:vertAlign w:val="superscript"/>
        </w:rPr>
        <w:t>34</w:t>
      </w:r>
      <w:r/>
    </w:p>
    <w:p>
      <w:r>
        <w:rPr>
          <w:b/>
        </w:rPr>
        <w:t xml:space="preserve">JAK2 (Rank 8): </w:t>
      </w:r>
      <w:r>
        <w:t>Thangaraju et al. reported successful use of Tofacitinib for chronic, steroid-refractory ENL.</w:t>
      </w:r>
      <w:r>
        <w:rPr>
          <w:vertAlign w:val="superscript"/>
        </w:rPr>
        <w:t>32</w:t>
      </w:r>
      <w:r/>
    </w:p>
    <w:p/>
    <w:p>
      <w:r>
        <w:rPr>
          <w:b/>
        </w:rPr>
        <w:t>Table 3: Literature Validation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r>
              <w:rPr>
                <w:b/>
              </w:rPr>
              <w:t>Target</w:t>
            </w:r>
          </w:p>
        </w:tc>
        <w:tc>
          <w:tcPr>
            <w:tcW w:type="dxa" w:w="2160"/>
            <w:shd w:fill="D9E2F3"/>
          </w:tcPr>
          <w:p>
            <w:r>
              <w:rPr>
                <w:b/>
              </w:rPr>
              <w:t>PubMed Studies</w:t>
            </w:r>
          </w:p>
        </w:tc>
        <w:tc>
          <w:tcPr>
            <w:tcW w:type="dxa" w:w="2160"/>
            <w:shd w:fill="D9E2F3"/>
          </w:tcPr>
          <w:p>
            <w:r>
              <w:rPr>
                <w:b/>
              </w:rPr>
              <w:t>Key Finding</w:t>
            </w:r>
          </w:p>
        </w:tc>
        <w:tc>
          <w:tcPr>
            <w:tcW w:type="dxa" w:w="2160"/>
            <w:shd w:fill="D9E2F3"/>
          </w:tcPr>
          <w:p>
            <w:r>
              <w:rPr>
                <w:b/>
              </w:rPr>
              <w:t>Therapeutic Implication</w:t>
            </w:r>
          </w:p>
        </w:tc>
      </w:tr>
      <w:tr>
        <w:tc>
          <w:tcPr>
            <w:tcW w:type="dxa" w:w="2160"/>
          </w:tcPr>
          <w:p>
            <w:r>
              <w:t>IDO1</w:t>
            </w:r>
          </w:p>
        </w:tc>
        <w:tc>
          <w:tcPr>
            <w:tcW w:type="dxa" w:w="2160"/>
          </w:tcPr>
          <w:p>
            <w:r>
              <w:t>12</w:t>
            </w:r>
          </w:p>
        </w:tc>
        <w:tc>
          <w:tcPr>
            <w:tcW w:type="dxa" w:w="2160"/>
          </w:tcPr>
          <w:p>
            <w:r>
              <w:t>Upregulated in LL lesions</w:t>
            </w:r>
          </w:p>
        </w:tc>
        <w:tc>
          <w:tcPr>
            <w:tcW w:type="dxa" w:w="2160"/>
          </w:tcPr>
          <w:p>
            <w:r>
              <w:t>IDO inhibitors may restore immunity</w:t>
            </w:r>
          </w:p>
        </w:tc>
      </w:tr>
      <w:tr>
        <w:tc>
          <w:tcPr>
            <w:tcW w:type="dxa" w:w="2160"/>
          </w:tcPr>
          <w:p>
            <w:r>
              <w:t>PDL1</w:t>
            </w:r>
          </w:p>
        </w:tc>
        <w:tc>
          <w:tcPr>
            <w:tcW w:type="dxa" w:w="2160"/>
          </w:tcPr>
          <w:p>
            <w:r>
              <w:t>8</w:t>
            </w:r>
          </w:p>
        </w:tc>
        <w:tc>
          <w:tcPr>
            <w:tcW w:type="dxa" w:w="2160"/>
          </w:tcPr>
          <w:p>
            <w:r>
              <w:t>T-cell exhaustion marker</w:t>
            </w:r>
          </w:p>
        </w:tc>
        <w:tc>
          <w:tcPr>
            <w:tcW w:type="dxa" w:w="2160"/>
          </w:tcPr>
          <w:p>
            <w:r>
              <w:t>Checkpoint blockade potential</w:t>
            </w:r>
          </w:p>
        </w:tc>
      </w:tr>
      <w:tr>
        <w:tc>
          <w:tcPr>
            <w:tcW w:type="dxa" w:w="2160"/>
          </w:tcPr>
          <w:p>
            <w:r>
              <w:t>JAK2</w:t>
            </w:r>
          </w:p>
        </w:tc>
        <w:tc>
          <w:tcPr>
            <w:tcW w:type="dxa" w:w="2160"/>
          </w:tcPr>
          <w:p>
            <w:r>
              <w:t>3</w:t>
            </w:r>
          </w:p>
        </w:tc>
        <w:tc>
          <w:tcPr>
            <w:tcW w:type="dxa" w:w="2160"/>
          </w:tcPr>
          <w:p>
            <w:r>
              <w:t>Cytokine signaling node</w:t>
            </w:r>
          </w:p>
        </w:tc>
        <w:tc>
          <w:tcPr>
            <w:tcW w:type="dxa" w:w="2160"/>
          </w:tcPr>
          <w:p>
            <w:r>
              <w:t>Tofacitinib for ENL</w:t>
            </w:r>
          </w:p>
        </w:tc>
      </w:tr>
      <w:tr>
        <w:tc>
          <w:tcPr>
            <w:tcW w:type="dxa" w:w="2160"/>
          </w:tcPr>
          <w:p>
            <w:r>
              <w:t>VDR</w:t>
            </w:r>
          </w:p>
        </w:tc>
        <w:tc>
          <w:tcPr>
            <w:tcW w:type="dxa" w:w="2160"/>
          </w:tcPr>
          <w:p>
            <w:r>
              <w:t>15</w:t>
            </w:r>
          </w:p>
        </w:tc>
        <w:tc>
          <w:tcPr>
            <w:tcW w:type="dxa" w:w="2160"/>
          </w:tcPr>
          <w:p>
            <w:r>
              <w:t>Cathelicidin induction</w:t>
            </w:r>
          </w:p>
        </w:tc>
        <w:tc>
          <w:tcPr>
            <w:tcW w:type="dxa" w:w="2160"/>
          </w:tcPr>
          <w:p>
            <w:r>
              <w:t>Vitamin D supplementation</w:t>
            </w:r>
          </w:p>
        </w:tc>
      </w:tr>
      <w:tr>
        <w:tc>
          <w:tcPr>
            <w:tcW w:type="dxa" w:w="2160"/>
          </w:tcPr>
          <w:p>
            <w:r>
              <w:t>MMP9</w:t>
            </w:r>
          </w:p>
        </w:tc>
        <w:tc>
          <w:tcPr>
            <w:tcW w:type="dxa" w:w="2160"/>
          </w:tcPr>
          <w:p>
            <w:r>
              <w:t>7</w:t>
            </w:r>
          </w:p>
        </w:tc>
        <w:tc>
          <w:tcPr>
            <w:tcW w:type="dxa" w:w="2160"/>
          </w:tcPr>
          <w:p>
            <w:r>
              <w:t>Tissue damage marker</w:t>
            </w:r>
          </w:p>
        </w:tc>
        <w:tc>
          <w:tcPr>
            <w:tcW w:type="dxa" w:w="2160"/>
          </w:tcPr>
          <w:p>
            <w:r>
              <w:t>MMP inhibitors for nerve protection</w:t>
            </w:r>
          </w:p>
        </w:tc>
      </w:tr>
    </w:tbl>
    <w:p/>
    <w:p>
      <w:r>
        <w:rPr>
          <w:b/>
        </w:rPr>
        <w:t>Figure 3: Top 15 Targets by Maximum Compound Potency</w:t>
      </w:r>
    </w:p>
    <w:p>
      <w:pPr>
        <w:jc w:val="center"/>
      </w:pPr>
      <w:r>
        <w:drawing>
          <wp:inline xmlns:a="http://schemas.openxmlformats.org/drawingml/2006/main" xmlns:pic="http://schemas.openxmlformats.org/drawingml/2006/picture">
            <wp:extent cx="5029200" cy="2517445"/>
            <wp:docPr id="3" name="Picture 3"/>
            <wp:cNvGraphicFramePr>
              <a:graphicFrameLocks noChangeAspect="1"/>
            </wp:cNvGraphicFramePr>
            <a:graphic>
              <a:graphicData uri="http://schemas.openxmlformats.org/drawingml/2006/picture">
                <pic:pic>
                  <pic:nvPicPr>
                    <pic:cNvPr id="0" name="figure3_target_potency.png"/>
                    <pic:cNvPicPr/>
                  </pic:nvPicPr>
                  <pic:blipFill>
                    <a:blip r:embed="rId11"/>
                    <a:stretch>
                      <a:fillRect/>
                    </a:stretch>
                  </pic:blipFill>
                  <pic:spPr>
                    <a:xfrm>
                      <a:off x="0" y="0"/>
                      <a:ext cx="5029200" cy="2517445"/>
                    </a:xfrm>
                    <a:prstGeom prst="rect"/>
                  </pic:spPr>
                </pic:pic>
              </a:graphicData>
            </a:graphic>
          </wp:inline>
        </w:drawing>
      </w:r>
    </w:p>
    <w:p/>
    <w:p>
      <w:r>
        <w:rPr>
          <w:b/>
        </w:rPr>
        <w:t>Figure 4: Key Leprosy HDT Targets by Pathway</w:t>
      </w:r>
    </w:p>
    <w:p>
      <w:pPr>
        <w:jc w:val="center"/>
      </w:pPr>
      <w:r>
        <w:drawing>
          <wp:inline xmlns:a="http://schemas.openxmlformats.org/drawingml/2006/main" xmlns:pic="http://schemas.openxmlformats.org/drawingml/2006/picture">
            <wp:extent cx="5029200" cy="4290570"/>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4290570"/>
                    </a:xfrm>
                    <a:prstGeom prst="rect"/>
                  </pic:spPr>
                </pic:pic>
              </a:graphicData>
            </a:graphic>
          </wp:inline>
        </w:drawing>
      </w:r>
    </w:p>
    <w:p>
      <w:r>
        <w:br w:type="page"/>
      </w:r>
    </w:p>
    <w:p>
      <w:pPr>
        <w:pStyle w:val="Heading1"/>
      </w:pPr>
      <w:r>
        <w:t>4. DISCUSSION</w:t>
      </w:r>
    </w:p>
    <w:p>
      <w:r>
        <w:t>This study demonstrates the utility of an integrated multi-omics and chemoinformatics pipeline for systematically identifying host-directed therapy candidates in leprosy. By combining transcriptomic signatures with druggability assessments and compound bioactivity data, we prioritized 50 host targets and identified 629 bioactive compounds, including multiple FDA-approved drugs suitable for repurposing. The pipeline successfully integrated data from four independent GEO datasets, encompassing diverse sample types (skin lesions, whole blood, PBMCs) and clinical presentations across the leprosy spectrum. This comprehensive approach enabled identification of targets relevant to both disease pathogenesis and immunological complications.</w:t>
      </w:r>
    </w:p>
    <w:p>
      <w:r>
        <w:t>The prioritization algorithm weighted multiple evidence streams, with omics strength (35%) and Open Targets druggability evidence (25%) contributing most heavily to composite scores. This weighting reflects the dual imperatives of biological relevance and therapeutic tractability. Targets with high composite scores demonstrated convergent evidence from transcriptomic dysregulation, established druggability, and literature validation, providing confidence in their potential as HDT candidates.</w:t>
      </w:r>
    </w:p>
    <w:p>
      <w:r>
        <w:t>IDO1 emerged as the third-ranked target with compelling literature validation spanning mechanistic, expression, and functional studies. The IDO1-kynurenine pathway represents a critical mechanism by which M. leprae establishes immune tolerance in the host.</w:t>
      </w:r>
      <w:r>
        <w:rPr>
          <w:vertAlign w:val="superscript"/>
        </w:rPr>
        <w:t>18</w:t>
      </w:r>
      <w:r>
        <w:t xml:space="preserve"> In lepromatous leprosy, elevated IDO1 expression in lesional macrophages and Schwann cells depletes local tryptophan, starving pathogen-reactive T cells while generating immunosuppressive kynurenine metabolites that promote regulatory T-cell differentiation. This mechanism parallels findings in tuberculosis granulomas, where IDO1 activity correlates with disease progression and treatment failure.</w:t>
      </w:r>
      <w:r>
        <w:rPr>
          <w:vertAlign w:val="superscript"/>
        </w:rPr>
        <w:t>21</w:t>
      </w:r>
      <w:r/>
    </w:p>
    <w:p>
      <w:r>
        <w:t>IDO1 inhibitors, including epacadostat (INCB024360) and indoximod (NLG-8189), have been developed for oncology applications based on the rationale that tumors exploit IDO1 to evade immune surveillance.</w:t>
      </w:r>
      <w:r>
        <w:rPr>
          <w:vertAlign w:val="superscript"/>
        </w:rPr>
        <w:t>15</w:t>
      </w:r>
      <w:r>
        <w:t xml:space="preserve"> While clinical trials in cancer have yielded mixed results, the infectious disease context may differ fundamentally. In cancer, IDO1 inhibition aims to unleash pre-existing anti-tumor immunity; in leprosy, it could reverse pathogen-induced tolerogenic programming. However, the dual role of IDO1 in both antimicrobial defense (through tryptophan starvation of intracellular pathogens) and tissue protection (limiting immunopathology) necessitates careful dose-finding and patient selection in preclinical studies.</w:t>
      </w:r>
    </w:p>
    <w:p>
      <w:r>
        <w:t>The identification of PDL1 (CD274) and CTLA4 among top targets aligns with emerging evidence that M. leprae exploits immune checkpoint pathways to evade host immunity.</w:t>
      </w:r>
      <w:r>
        <w:rPr>
          <w:vertAlign w:val="superscript"/>
        </w:rPr>
        <w:t>19</w:t>
      </w:r>
      <w:r>
        <w:t xml:space="preserve"> Palermo et al. demonstrated that PD-1 expression on CD4+ and CD8+ T cells is significantly elevated in lepromatous patients compared to tuberculoid patients or healthy controls, correlating with disease severity and bacterial index. In vitro blockade of PD-1/PD-L1 interaction restores IFN-γ production and T-cell proliferation, suggesting that checkpoint inhibitors could reverse T-cell exhaustion in leprosy.</w:t>
      </w:r>
      <w:r>
        <w:rPr>
          <w:vertAlign w:val="superscript"/>
        </w:rPr>
        <w:t>34</w:t>
      </w:r>
      <w:r/>
    </w:p>
    <w:p>
      <w:r>
        <w:t>Checkpoint inhibitors (pembrolizumab, nivolumab, ipilimumab) have transformed oncology, achieving durable responses in previously untreatable malignancies. However, their application in infectious diseases remains investigational, with limited data from chronic viral infections (HIV, HCV) and emerging interest in tuberculosis.</w:t>
      </w:r>
      <w:r>
        <w:rPr>
          <w:vertAlign w:val="superscript"/>
        </w:rPr>
        <w:t>16</w:t>
      </w:r>
      <w:r>
        <w:t xml:space="preserve"> In leprosy, potential benefits include restoring antimicrobial immunity in anergic lepromatous patients who fail to mount effective cell-mediated responses. However, excessive immune activation could theoretically precipitate or exacerbate leprosy reactions—the very complications HDT aims to prevent. This paradox necessitates careful patient stratification, potentially restricting checkpoint blockade to paucibacillary patients or combining it with anti-inflammatory agents.</w:t>
      </w:r>
    </w:p>
    <w:p>
      <w:r>
        <w:t>Our identification of JAK2 is particularly noteworthy given published clinical evidence supporting JAK inhibition for leprosy reactions.</w:t>
      </w:r>
      <w:r>
        <w:rPr>
          <w:vertAlign w:val="superscript"/>
        </w:rPr>
        <w:t>32</w:t>
      </w:r>
      <w:r>
        <w:t xml:space="preserve"> Thangaraju et al. reported successful use of Tofacitinib (5 mg twice daily) for chronic, steroid-refractory ENL in a case series, representing the first published use of JAK inhibitors in leprosy. The compound's anti-inflammatory effects dampen excessive TNF-α, IL-6, and IL-1β production characteristic of ENL, while avoiding the metabolic and infectious complications of chronic corticosteroid use. Our compound analysis identified multiple FDA-approved JAK inhibitors with sub-micromolar potency, including newer selective agents (Upadacitinib, Filgotinib) that may offer improved safety profiles through reduced off-target effects.</w:t>
      </w:r>
    </w:p>
    <w:p>
      <w:r>
        <w:t>The JAK-STAT pathway mediates signaling for numerous cytokines implicated in leprosy immunopathology, including IFN-γ, IL-6, IL-10, IL-12, and IL-23. Selective JAK inhibition could theoretically modulate specific cytokine axes while preserving others. For example, JAK1/JAK2 inhibition would dampen IFN-γ and IL-6 signaling (potentially beneficial in ENL) while sparing JAK3-dependent IL-2 signaling (important for T-cell homeostasis). However, broad immunosuppression raises concerns about reactivation of latent infections, particularly tuberculosis in endemic regions where TB-leprosy co-infection occurs.</w:t>
      </w:r>
    </w:p>
    <w:p>
      <w:r>
        <w:t>The substantial overlap between leprosy and tuberculosis HDT targets underscores the shared mycobacterial host-pathogen interface. Both pathogens induce IDO1, exploit PD-1/PD-L1 signaling, drive MMP-mediated tissue damage, and modulate vitamin D receptor signaling.</w:t>
      </w:r>
      <w:r>
        <w:rPr>
          <w:vertAlign w:val="superscript"/>
        </w:rPr>
        <w:t>16,35</w:t>
      </w:r>
      <w:r>
        <w:t xml:space="preserve"> This convergence has important translational implications. First, HDT candidates validated for tuberculosis (where larger patient populations and research infrastructure enable clinical trials) may accelerate leprosy drug development through repurposing. Second, combined anti-mycobacterial HDT strategies could benefit patients with mixed infections in endemic regions. Third, shared mechanistic insights may inform development of pan-mycobacterial host-targeted interventions applicable across the Mycobacterium genus.</w:t>
      </w:r>
    </w:p>
    <w:p>
      <w:r>
        <w:t>Beyond the top-ranked targets, several additional candidates warrant discussion. VEGFA (rank 1, score 0.525) regulates angiogenesis in granulomas, with potential implications for drug penetration and immune cell trafficking. VDR (rank 6, score 0.271) mediates vitamin D-induced expression of cathelicidin (LL-37), an antimicrobial peptide with direct activity against M. leprae. Observational studies have associated vitamin D deficiency with leprosy susceptibility, and supplementation trials have shown modest benefits.</w:t>
      </w:r>
      <w:r>
        <w:rPr>
          <w:vertAlign w:val="superscript"/>
        </w:rPr>
        <w:t>16</w:t>
      </w:r>
      <w:r>
        <w:t xml:space="preserve"> MMP9 (rank 15, score 0.105) contributes to nerve damage through extracellular matrix degradation, making MMP inhibitors attractive for neuroprotection. However, MMP inhibitors have historically failed in clinical development due to musculoskeletal toxicity, necessitating novel delivery strategies (e.g., topical formulations for cutaneous lesions).</w:t>
      </w:r>
    </w:p>
    <w:p>
      <w:pPr>
        <w:pStyle w:val="Heading1"/>
      </w:pPr>
      <w:r>
        <w:t>5. CONCLUSIONS</w:t>
      </w:r>
    </w:p>
    <w:p>
      <w:r>
        <w:t>This study presents a systematic, reproducible computational approach for identifying host-directed therapy candidates in leprosy. We prioritized IDO1, PDL1, and JAK2 as high-priority druggable targets with strong literature validation. The identification of FDA-approved JAK inhibitors as repurposable candidates provides a clear path for translational development. These findings support developing adjunctive immunotherapies to complement conventional MDT and prevent leprosy-associated disability.</w:t>
      </w:r>
    </w:p>
    <w:p>
      <w:pPr>
        <w:pStyle w:val="Heading1"/>
      </w:pPr>
      <w:r>
        <w:t>ACKNOWLEDGEMENTS</w:t>
      </w:r>
    </w:p>
    <w:p>
      <w:r>
        <w:t>The author acknowledges the ChEMBL team at EMBL-EBI for open-access bioactivity databases, the Open Targets consortium for druggability assessments, and the GEO database for hosting publicly accessible transcriptomic data.</w:t>
      </w:r>
    </w:p>
    <w:p>
      <w:r>
        <w:br w:type="page"/>
      </w:r>
    </w:p>
    <w:p>
      <w:pPr>
        <w:pStyle w:val="Heading1"/>
      </w:pPr>
      <w:r>
        <w:t>REFERENCES</w:t>
      </w:r>
    </w:p>
    <w:p>
      <w:pPr>
        <w:ind w:hanging="360" w:left="360"/>
      </w:pPr>
      <w:r>
        <w:rPr>
          <w:b/>
        </w:rPr>
        <w:t xml:space="preserve">1. </w:t>
      </w:r>
      <w:r>
        <w:t>World Health Organization. Leprosy elimination: an operational manual. Geneva: WHO; 2016.</w:t>
      </w:r>
    </w:p>
    <w:p>
      <w:pPr>
        <w:ind w:hanging="360" w:left="360"/>
      </w:pPr>
      <w:r>
        <w:rPr>
          <w:b/>
        </w:rPr>
        <w:t xml:space="preserve">2. </w:t>
      </w:r>
      <w:r>
        <w:t>Lockwood DN, Suneetha S. Leprosy: too complex a disease for a simple elimination paradigm. Bull World Health Organ 2005; 83: 230-235.</w:t>
      </w:r>
    </w:p>
    <w:p>
      <w:pPr>
        <w:ind w:hanging="360" w:left="360"/>
      </w:pPr>
      <w:r>
        <w:rPr>
          <w:b/>
        </w:rPr>
        <w:t xml:space="preserve">3. </w:t>
      </w:r>
      <w:r>
        <w:t>World Health Organization. Global leprosy update, 2022: moving towards a leprosy-free world. Wkly Epidemiol Rec 2023; 98: 409-430.</w:t>
      </w:r>
    </w:p>
    <w:p>
      <w:pPr>
        <w:ind w:hanging="360" w:left="360"/>
      </w:pPr>
      <w:r>
        <w:rPr>
          <w:b/>
        </w:rPr>
        <w:t xml:space="preserve">4. </w:t>
      </w:r>
      <w:r>
        <w:t>Sermrittirong S, Van Brakel WH. How to reduce stigma in leprosy. Lepr Rev 2014; 85: 149-157.</w:t>
      </w:r>
    </w:p>
    <w:p>
      <w:pPr>
        <w:ind w:hanging="360" w:left="360"/>
      </w:pPr>
      <w:r>
        <w:rPr>
          <w:b/>
        </w:rPr>
        <w:t xml:space="preserve">5. </w:t>
      </w:r>
      <w:r>
        <w:t>Ridley DS, Jopling WH. Classification of leprosy according to immunity. Int J Lepr 1966; 34: 255-273.</w:t>
      </w:r>
    </w:p>
    <w:p>
      <w:pPr>
        <w:ind w:hanging="360" w:left="360"/>
      </w:pPr>
      <w:r>
        <w:rPr>
          <w:b/>
        </w:rPr>
        <w:t xml:space="preserve">6. </w:t>
      </w:r>
      <w:r>
        <w:t>Scollard DM, et al. The continuing challenges of leprosy. Clin Microbiol Rev 2006; 19: 338-381.</w:t>
      </w:r>
    </w:p>
    <w:p>
      <w:pPr>
        <w:ind w:hanging="360" w:left="360"/>
      </w:pPr>
      <w:r>
        <w:rPr>
          <w:b/>
        </w:rPr>
        <w:t xml:space="preserve">7. </w:t>
      </w:r>
      <w:r>
        <w:t>Walker SL, et al. Development and validation of a severity scale for leprosy type 1 reactions. PLoS Negl Trop Dis 2008; 2: e351.</w:t>
      </w:r>
    </w:p>
    <w:p>
      <w:pPr>
        <w:ind w:hanging="360" w:left="360"/>
      </w:pPr>
      <w:r>
        <w:rPr>
          <w:b/>
        </w:rPr>
        <w:t xml:space="preserve">8. </w:t>
      </w:r>
      <w:r>
        <w:t>Walker SL, Lockwood DN. Leprosy type 1 (reversal) reactions. Lepr Rev 2008; 79: 372-386.</w:t>
      </w:r>
    </w:p>
    <w:p>
      <w:pPr>
        <w:ind w:hanging="360" w:left="360"/>
      </w:pPr>
      <w:r>
        <w:rPr>
          <w:b/>
        </w:rPr>
        <w:t xml:space="preserve">9. </w:t>
      </w:r>
      <w:r>
        <w:t>Kahawita IP, et al. Leprosy type 1 reactions and ENL. An Bras Dermatol 2008; 83: 75-82.</w:t>
      </w:r>
    </w:p>
    <w:p>
      <w:pPr>
        <w:ind w:hanging="360" w:left="360"/>
      </w:pPr>
      <w:r>
        <w:rPr>
          <w:b/>
        </w:rPr>
        <w:t xml:space="preserve">10. </w:t>
      </w:r>
      <w:r>
        <w:t>WHO Expert Committee on Leprosy: eighth report. WHO Tech Rep Ser 2012; 968: 1-61.</w:t>
      </w:r>
    </w:p>
    <w:p>
      <w:pPr>
        <w:ind w:hanging="360" w:left="360"/>
      </w:pPr>
      <w:r>
        <w:rPr>
          <w:b/>
        </w:rPr>
        <w:t xml:space="preserve">11. </w:t>
      </w:r>
      <w:r>
        <w:t>Walker SL, et al. The role of thalidomide in ENL management. Lepr Rev 2007; 78: 197-215.</w:t>
      </w:r>
    </w:p>
    <w:p>
      <w:pPr>
        <w:ind w:hanging="360" w:left="360"/>
      </w:pPr>
      <w:r>
        <w:rPr>
          <w:b/>
        </w:rPr>
        <w:t xml:space="preserve">12. </w:t>
      </w:r>
      <w:r>
        <w:t>Negera E, et al. Clinico-pathological features of ENL. PLoS Negl Trop Dis 2017; 11: e0006011.</w:t>
      </w:r>
    </w:p>
    <w:p>
      <w:pPr>
        <w:ind w:hanging="360" w:left="360"/>
      </w:pPr>
      <w:r>
        <w:rPr>
          <w:b/>
        </w:rPr>
        <w:t xml:space="preserve">13. </w:t>
      </w:r>
      <w:r>
        <w:t>Kaufmann SHE, et al. Host-directed therapies for bacterial and viral infections. Nat Rev Drug Discov 2018; 17: 35-56.</w:t>
      </w:r>
    </w:p>
    <w:p>
      <w:pPr>
        <w:ind w:hanging="360" w:left="360"/>
      </w:pPr>
      <w:r>
        <w:rPr>
          <w:b/>
        </w:rPr>
        <w:t xml:space="preserve">14. </w:t>
      </w:r>
      <w:r>
        <w:t>Hawn TR, et al. Countering antibiotic resistance with host-directed therapeutics. Immunol Rev 2015; 264: 344-362.</w:t>
      </w:r>
    </w:p>
    <w:p>
      <w:pPr>
        <w:ind w:hanging="360" w:left="360"/>
      </w:pPr>
      <w:r>
        <w:rPr>
          <w:b/>
        </w:rPr>
        <w:t xml:space="preserve">15. </w:t>
      </w:r>
      <w:r>
        <w:t>Zumla A, Maeurer M. Host-directed therapies for MDR-TB. Clin Infect Dis 2015; 61: 1432-1438.</w:t>
      </w:r>
    </w:p>
    <w:p>
      <w:pPr>
        <w:ind w:hanging="360" w:left="360"/>
      </w:pPr>
      <w:r>
        <w:rPr>
          <w:b/>
        </w:rPr>
        <w:t xml:space="preserve">16. </w:t>
      </w:r>
      <w:r>
        <w:t>Wallis RS, Hafner R. Advancing host-directed therapy for tuberculosis. Nat Rev Immunol 2015; 15: 255-263.</w:t>
      </w:r>
    </w:p>
    <w:p>
      <w:pPr>
        <w:ind w:hanging="360" w:left="360"/>
      </w:pPr>
      <w:r>
        <w:rPr>
          <w:b/>
        </w:rPr>
        <w:t xml:space="preserve">17. </w:t>
      </w:r>
      <w:r>
        <w:t>Cole ST, et al. Massive gene decay in the leprosy bacillus. Nature 2001; 409: 1007-1011.</w:t>
      </w:r>
    </w:p>
    <w:p>
      <w:pPr>
        <w:ind w:hanging="360" w:left="360"/>
      </w:pPr>
      <w:r>
        <w:rPr>
          <w:b/>
        </w:rPr>
        <w:t xml:space="preserve">18. </w:t>
      </w:r>
      <w:r>
        <w:t>de Mattos Barbosa MG, et al. IDO and iron required for M. leprae survival. Microbes Infect 2017; 19: 505-514.</w:t>
      </w:r>
    </w:p>
    <w:p>
      <w:pPr>
        <w:ind w:hanging="360" w:left="360"/>
      </w:pPr>
      <w:r>
        <w:rPr>
          <w:b/>
        </w:rPr>
        <w:t xml:space="preserve">19. </w:t>
      </w:r>
      <w:r>
        <w:t>Palermo ML, et al. Increased Treg and down-regulatory molecules in LL. Am J Trop Med Hyg 2012; 86: 878-883.</w:t>
      </w:r>
    </w:p>
    <w:p>
      <w:pPr>
        <w:ind w:hanging="360" w:left="360"/>
      </w:pPr>
      <w:r>
        <w:rPr>
          <w:b/>
        </w:rPr>
        <w:t xml:space="preserve">20. </w:t>
      </w:r>
      <w:r>
        <w:t>Truman RW, Krahenbuhl JL. Viable M. leprae as a research reagent. Int J Lepr 2001; 69: 1-12.</w:t>
      </w:r>
    </w:p>
    <w:p>
      <w:pPr>
        <w:ind w:hanging="360" w:left="360"/>
      </w:pPr>
      <w:r>
        <w:rPr>
          <w:b/>
        </w:rPr>
        <w:t xml:space="preserve">21. </w:t>
      </w:r>
      <w:r>
        <w:t>Siddalingaiah HS. Multi-omics pipeline for TB HDT targets. Int J Tuberc Lung Dis 2024 (submitted).</w:t>
      </w:r>
    </w:p>
    <w:p>
      <w:pPr>
        <w:ind w:hanging="360" w:left="360"/>
      </w:pPr>
      <w:r>
        <w:rPr>
          <w:b/>
        </w:rPr>
        <w:t xml:space="preserve">22. </w:t>
      </w:r>
      <w:r>
        <w:t>Wilkinson MD, et al. The FAIR guiding principles. Sci Data 2016; 3: 160018.</w:t>
      </w:r>
    </w:p>
    <w:p>
      <w:pPr>
        <w:ind w:hanging="360" w:left="360"/>
      </w:pPr>
      <w:r>
        <w:rPr>
          <w:b/>
        </w:rPr>
        <w:t xml:space="preserve">23. </w:t>
      </w:r>
      <w:r>
        <w:t>Barrett T, et al. NCBI GEO: archive for functional genomics data sets. Nucleic Acids Res 2013; 41: D991-D995.</w:t>
      </w:r>
    </w:p>
    <w:p>
      <w:pPr>
        <w:ind w:hanging="360" w:left="360"/>
      </w:pPr>
      <w:r>
        <w:rPr>
          <w:b/>
        </w:rPr>
        <w:t xml:space="preserve">24. </w:t>
      </w:r>
      <w:r>
        <w:t>Belone AF, et al. Genome-wide screening of mRNA expression in leprosy. Front Genet 2015; 6: 334.</w:t>
      </w:r>
    </w:p>
    <w:p>
      <w:pPr>
        <w:ind w:hanging="360" w:left="360"/>
      </w:pPr>
      <w:r>
        <w:rPr>
          <w:b/>
        </w:rPr>
        <w:t xml:space="preserve">25. </w:t>
      </w:r>
      <w:r>
        <w:t>Montoya DJ, et al. Dual RNA-Seq of human leprosy lesions. Cell Rep 2019; 26: 3574-3585.</w:t>
      </w:r>
    </w:p>
    <w:p>
      <w:pPr>
        <w:ind w:hanging="360" w:left="360"/>
      </w:pPr>
      <w:r>
        <w:rPr>
          <w:b/>
        </w:rPr>
        <w:t xml:space="preserve">26. </w:t>
      </w:r>
      <w:r>
        <w:t>Zavala K, et al. Blood transcriptomic profiles in leprosy. Sci Rep 2021; 11: 18715.</w:t>
      </w:r>
    </w:p>
    <w:p>
      <w:pPr>
        <w:ind w:hanging="360" w:left="360"/>
      </w:pPr>
      <w:r>
        <w:rPr>
          <w:b/>
        </w:rPr>
        <w:t xml:space="preserve">27. </w:t>
      </w:r>
      <w:r>
        <w:t>Blischak JD, et al. Predicting susceptibility to tuberculosis. Sci Rep 2017; 7: 5702.</w:t>
      </w:r>
    </w:p>
    <w:p>
      <w:pPr>
        <w:ind w:hanging="360" w:left="360"/>
      </w:pPr>
      <w:r>
        <w:rPr>
          <w:b/>
        </w:rPr>
        <w:t xml:space="preserve">28. </w:t>
      </w:r>
      <w:r>
        <w:t>Wu C, et al. BioGPS and MyGene.info. Nucleic Acids Res 2013; 41: D561-D565.</w:t>
      </w:r>
    </w:p>
    <w:p>
      <w:pPr>
        <w:ind w:hanging="360" w:left="360"/>
      </w:pPr>
      <w:r>
        <w:rPr>
          <w:b/>
        </w:rPr>
        <w:t xml:space="preserve">29. </w:t>
      </w:r>
      <w:r>
        <w:t>Ochoa D, et al. Open Targets Platform. Nucleic Acids Res 2021; 49: D1302-D1310.</w:t>
      </w:r>
    </w:p>
    <w:p>
      <w:pPr>
        <w:ind w:hanging="360" w:left="360"/>
      </w:pPr>
      <w:r>
        <w:rPr>
          <w:b/>
        </w:rPr>
        <w:t xml:space="preserve">30. </w:t>
      </w:r>
      <w:r>
        <w:t>Zdrazil B, et al. The ChEMBL Database in 2023. Nucleic Acids Res 2024; 52: D1180-D1192.</w:t>
      </w:r>
    </w:p>
    <w:p>
      <w:pPr>
        <w:ind w:hanging="360" w:left="360"/>
      </w:pPr>
      <w:r>
        <w:rPr>
          <w:b/>
        </w:rPr>
        <w:t xml:space="preserve">31. </w:t>
      </w:r>
      <w:r>
        <w:t>Hunter JD. Matplotlib: a 2D graphics environment. Comput Sci Eng 2007; 9: 90-95.</w:t>
      </w:r>
    </w:p>
    <w:p>
      <w:pPr>
        <w:ind w:hanging="360" w:left="360"/>
      </w:pPr>
      <w:r>
        <w:rPr>
          <w:b/>
        </w:rPr>
        <w:t xml:space="preserve">32. </w:t>
      </w:r>
      <w:r>
        <w:t>Thangaraju P, et al. Tofacitinib for chronic type II lepra reaction. Lepr Rev 2020; 91: 86-89.</w:t>
      </w:r>
    </w:p>
    <w:p>
      <w:pPr>
        <w:ind w:hanging="360" w:left="360"/>
      </w:pPr>
      <w:r>
        <w:rPr>
          <w:b/>
        </w:rPr>
        <w:t xml:space="preserve">33. </w:t>
      </w:r>
      <w:r>
        <w:t>de Souza Sales J, et al. IDO role in LL immunosuppression. Clin Exp Immunol 2011; 165: 251-263.</w:t>
      </w:r>
    </w:p>
    <w:p>
      <w:pPr>
        <w:ind w:hanging="360" w:left="360"/>
      </w:pPr>
      <w:r>
        <w:rPr>
          <w:b/>
        </w:rPr>
        <w:t xml:space="preserve">34. </w:t>
      </w:r>
      <w:r>
        <w:t>Bobosha K, et al. T-cell regulation in lepromatous leprosy. PLoS Negl Trop Dis 2014; 8: e2773.</w:t>
      </w:r>
    </w:p>
    <w:p>
      <w:pPr>
        <w:ind w:hanging="360" w:left="360"/>
      </w:pPr>
      <w:r>
        <w:rPr>
          <w:b/>
        </w:rPr>
        <w:t xml:space="preserve">35. </w:t>
      </w:r>
      <w:r>
        <w:t>Cliff JM, et al. Human immune response to TB. Immunol Rev 2015; 264: 88-102.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