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b/>
          <w:sz w:val="28"/>
        </w:rPr>
        <w:t>An Integrated Multi-omics and Chemoinformatics Pipeline Identifies IDO1, PDL1, and JAK2 as Host-Directed Therapy Candidates for Leprosy</w:t>
      </w:r>
    </w:p>
    <w:p/>
    <w:p>
      <w:pPr>
        <w:spacing w:line="480" w:lineRule="auto"/>
        <w:jc w:val="center"/>
      </w:pPr>
      <w:r>
        <w:rPr>
          <w:b/>
        </w:rPr>
        <w:t>Siddalingaiah H S</w:t>
      </w:r>
    </w:p>
    <w:p>
      <w:pPr>
        <w:spacing w:line="480" w:lineRule="auto"/>
        <w:jc w:val="center"/>
      </w:pPr>
      <w:r>
        <w:t>Department of Community Medicine</w:t>
      </w:r>
    </w:p>
    <w:p>
      <w:pPr>
        <w:spacing w:line="480" w:lineRule="auto"/>
        <w:jc w:val="center"/>
      </w:pPr>
      <w:r>
        <w:t>Shridevi Institute of Medical Sciences and Research Hospital</w:t>
      </w:r>
    </w:p>
    <w:p>
      <w:pPr>
        <w:spacing w:line="480" w:lineRule="auto"/>
        <w:jc w:val="center"/>
      </w:pPr>
      <w:r>
        <w:t>Tumkur – 572106, Karnataka, India</w:t>
      </w:r>
    </w:p>
    <w:p/>
    <w:p>
      <w:pPr>
        <w:spacing w:line="480" w:lineRule="auto"/>
      </w:pPr>
      <w:r>
        <w:rPr>
          <w:b/>
        </w:rPr>
        <w:t>Corresponding Author:</w:t>
      </w:r>
    </w:p>
    <w:p>
      <w:pPr>
        <w:spacing w:line="480" w:lineRule="auto"/>
      </w:pPr>
      <w:r>
        <w:t>Dr. Siddalingaiah H S</w:t>
      </w:r>
    </w:p>
    <w:p>
      <w:pPr>
        <w:spacing w:line="480" w:lineRule="auto"/>
      </w:pPr>
      <w:r>
        <w:t>Email: hssling@yahoo.com</w:t>
      </w:r>
    </w:p>
    <w:p>
      <w:pPr>
        <w:spacing w:line="480" w:lineRule="auto"/>
      </w:pPr>
      <w:r>
        <w:t>Phone: +91-8941087719</w:t>
      </w:r>
    </w:p>
    <w:p>
      <w:pPr>
        <w:spacing w:line="480" w:lineRule="auto"/>
      </w:pPr>
      <w:r>
        <w:t>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