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 Integrated Multi-omics and Chemoinformatics Pipeline Identifies IDO1, PDL1, and JAK2 as Host-Directed Therapy Candidates for Leprosy</w:t>
      </w:r>
    </w:p>
    <w:p>
      <w:pPr>
        <w:pStyle w:val="Heading1"/>
      </w:pPr>
      <w:r>
        <w:t>ABSTRACT</w:t>
      </w:r>
    </w:p>
    <w:p>
      <w:pPr>
        <w:pStyle w:val="Heading2"/>
      </w:pPr>
      <w:r>
        <w:t>Objectives</w:t>
      </w:r>
    </w:p>
    <w:p>
      <w:r>
        <w:t>To systematically identify druggable host targets and repurposable drug candidates for leprosy. Leprosy reactions cause nerve damage despite effective multidrug therapy, necessitating novel host-directed therapies.</w:t>
      </w:r>
    </w:p>
    <w:p>
      <w:pPr>
        <w:pStyle w:val="Heading2"/>
      </w:pPr>
      <w:r>
        <w:t>Methods</w:t>
      </w:r>
    </w:p>
    <w:p>
      <w:r>
        <w:t>A 50-gene signature from 4 GEO datasets after normalization and FDR correction. Genes selected based on differential expression in 2 datasets. Pipeline integrated MyGene.info, Open Targets, ChEMBL. Weighted composite scoring with sensitivity analysis. Systematic literature validation for all top 10 targets.</w:t>
      </w:r>
    </w:p>
    <w:p>
      <w:pPr>
        <w:pStyle w:val="Heading2"/>
      </w:pPr>
      <w:r>
        <w:t>Results</w:t>
      </w:r>
    </w:p>
    <w:p>
      <w:r>
        <w:t>Top candidates: VEGFA (0.525, limited validation), PDL1 (0.449, 8 publications), IDO1 (0.386, 12 publications - strongest), CD38 (0.291), IL10 (0.273, 18 publications). Sensitivity analysis confirmed robustness. 629 compounds identified, 45 FDA-approved. Literature validated IDO1 immunosuppression,</w:t>
      </w:r>
      <w:r>
        <w:rPr>
          <w:vertAlign w:val="superscript"/>
        </w:rPr>
        <w:t>18</w:t>
      </w:r>
      <w:r>
        <w:t xml:space="preserve"> PDL1 T-cell exhaustion,</w:t>
      </w:r>
      <w:r>
        <w:rPr>
          <w:vertAlign w:val="superscript"/>
        </w:rPr>
        <w:t>19</w:t>
      </w:r>
      <w:r>
        <w:t xml:space="preserve"> Tofacitinib for ENL.</w:t>
      </w:r>
      <w:r>
        <w:rPr>
          <w:vertAlign w:val="superscript"/>
        </w:rPr>
        <w:t>32</w:t>
      </w:r>
      <w:r/>
    </w:p>
    <w:p>
      <w:pPr>
        <w:pStyle w:val="Heading2"/>
      </w:pPr>
      <w:r>
        <w:t>Conclusions</w:t>
      </w:r>
    </w:p>
    <w:p>
      <w:r>
        <w:t>Pipeline identified validated HDT targets. IDO1 inhibition may reverse immunosuppression post-MDT, PD-L1 blockade restore T-cell function, JAK inhibitors treat ENL. Safety considerations: autoimmune risks, TB reactivation, rifampicin interactions require careful stratification.</w:t>
      </w:r>
    </w:p>
    <w:p>
      <w:pPr>
        <w:pStyle w:val="Heading1"/>
      </w:pPr>
      <w:r>
        <w:t>1. INTRODUCTION</w:t>
      </w:r>
    </w:p>
    <w:p>
      <w:r>
        <w:t>Leprosy remains endemic with 200,000 annual cases.</w:t>
      </w:r>
      <w:r>
        <w:rPr>
          <w:vertAlign w:val="superscript"/>
        </w:rPr>
        <w:t>1,2,3</w:t>
      </w:r>
      <w:r>
        <w:t xml:space="preserve"> Reactions cause nerve damage in 50% of patients.</w:t>
      </w:r>
      <w:r>
        <w:rPr>
          <w:vertAlign w:val="superscript"/>
        </w:rPr>
        <w:t>7</w:t>
      </w:r>
      <w:r>
        <w:t xml:space="preserve"> Current treatments (steroids, thalidomide) have limitations.</w:t>
      </w:r>
      <w:r>
        <w:rPr>
          <w:vertAlign w:val="superscript"/>
        </w:rPr>
        <w:t>12,13</w:t>
      </w:r>
      <w:r>
        <w:t xml:space="preserve"> Host-directed therapies target host pathways rather than pathogens.</w:t>
      </w:r>
      <w:r>
        <w:rPr>
          <w:vertAlign w:val="superscript"/>
        </w:rPr>
        <w:t>14,15</w:t>
      </w:r>
      <w:r>
        <w:t xml:space="preserve"> M. leprae employs immune evasion via PD-1 and IDO1.</w:t>
      </w:r>
      <w:r>
        <w:rPr>
          <w:vertAlign w:val="superscript"/>
        </w:rPr>
        <w:t>18,19</w:t>
      </w:r>
      <w:r>
        <w:t xml:space="preserve"> This computational pipeline identifies druggable targets.</w:t>
      </w:r>
    </w:p>
    <w:p>
      <w:pPr>
        <w:pStyle w:val="Heading1"/>
      </w:pPr>
      <w:r>
        <w:t>2. METHODS</w:t>
      </w:r>
    </w:p>
    <w:p>
      <w:pPr>
        <w:pStyle w:val="Heading2"/>
      </w:pPr>
      <w:r>
        <w:t>2.1 Gene Signature</w:t>
      </w:r>
    </w:p>
    <w:p>
      <w:r>
        <w:t>50-gene signature from GSE16844, GSE125943, GSE129033, GSE74481.^24-27^ RMA/DESeq2 normalization, FDR correction. Selection: |logFC|1.0, adj.p&lt;0.05 in 2 datasets. 12 genes in all 4 datasets, 23 in 3 datasets, 15 in 2 datasets (Supp Fig S1, Table S1).</w:t>
      </w:r>
    </w:p>
    <w:p>
      <w:pPr>
        <w:pStyle w:val="Heading2"/>
      </w:pPr>
      <w:r>
        <w:t>2.2 Prioritization Algorithm</w:t>
      </w:r>
    </w:p>
    <w:p>
      <w:r>
        <w:t>Composite score: 0.35Omics + 0.25OpenTargets + 0.20Druggability + 0.10Centrality + 0.10Replication. Weights justified by evidence hierarchy. Sensitivity analysis: 10 schemes tested, top targets stable (Supp Table S2).</w:t>
      </w:r>
    </w:p>
    <w:p>
      <w:pPr>
        <w:pStyle w:val="Heading2"/>
      </w:pPr>
      <w:r>
        <w:t>2.3 Literature Validation</w:t>
      </w:r>
    </w:p>
    <w:p>
      <w:r>
        <w:t>Systematic PubMed search for all 50 targets. Categories: Strong (10 pubs), Moderate (5-9), Limited (1-4), None (0). Complete results in Supp Table S3.</w:t>
      </w:r>
    </w:p>
    <w:p>
      <w:pPr>
        <w:pStyle w:val="Heading1"/>
      </w:pPr>
      <w:r>
        <w:t>3. RESULTS</w:t>
      </w:r>
    </w:p>
    <w:p>
      <w:pPr>
        <w:pStyle w:val="Heading2"/>
      </w:pPr>
      <w:r>
        <w:t>3.1 Validation Summary</w:t>
      </w:r>
    </w:p>
    <w:p>
      <w:r>
        <w:t>Top 10 validation: VEGFA (4 pubs, limited), PDL1 (8, moderate), IDO1 (12, strong), CD38 (3), IL10 (18, strong), VDR (15, strong), BLK (0, none - artifact), JAK2 (3, Tofacitinib case series), CXCL10 (6), CTLA4 (2).</w:t>
      </w:r>
    </w:p>
    <w:p>
      <w:pPr>
        <w:pStyle w:val="Heading1"/>
      </w:pPr>
      <w:r>
        <w:t>4. DISCUSSION</w:t>
      </w:r>
    </w:p>
    <w:p>
      <w:pPr>
        <w:pStyle w:val="Heading2"/>
      </w:pPr>
      <w:r>
        <w:t>4.1 Immunological Context</w:t>
      </w:r>
    </w:p>
    <w:p>
      <w:r>
        <w:t>Type 1 reactions: Th1 upregulation - checkpoint blockade may worsen. Type 2 (ENL): immune complexes - JAK inhibitors appropriate. HDT timing critical: prevention during MDT, treatment for ENL, maintenance post-MDT.</w:t>
      </w:r>
    </w:p>
    <w:p>
      <w:pPr>
        <w:pStyle w:val="Heading2"/>
      </w:pPr>
      <w:r>
        <w:t>4.2 Safety Considerations</w:t>
      </w:r>
    </w:p>
    <w:p>
      <w:r>
        <w:t>Checkpoint inhibitors: autoimmune risks (10-20%). IDO1 inhibitors: dual role concern. JAK inhibitors: TB reactivation risk, rifampicin interactions (50-70% exposure reduction). Mitigation: screening, monitoring, sequential therapy.</w:t>
      </w:r>
    </w:p>
    <w:p>
      <w:pPr>
        <w:pStyle w:val="Heading2"/>
      </w:pPr>
      <w:r>
        <w:t>4.3 VEGFA Ranking</w:t>
      </w:r>
    </w:p>
    <w:p>
      <w:r>
        <w:t>VEGFA ranked #1 due to high druggability (1,193 drugs) but limited biological validation (4 pubs, no functional studies). Computational score  biological priority. Recommend prioritizing IDO1, PDL1, JAK2 based on validation.</w:t>
      </w:r>
    </w:p>
    <w:p>
      <w:pPr>
        <w:pStyle w:val="Heading2"/>
      </w:pPr>
      <w:r>
        <w:t>4.4 Limitations</w:t>
      </w:r>
    </w:p>
    <w:p>
      <w:r>
        <w:t>Computational predictions require validation. M. leprae unculturable. BLK demonstrates computational artifacts. Literature validation may miss recent findings.</w:t>
      </w:r>
    </w:p>
    <w:p>
      <w:pPr>
        <w:pStyle w:val="Heading1"/>
      </w:pPr>
      <w:r>
        <w:t>5. CONCLUSIONS</w:t>
      </w:r>
    </w:p>
    <w:p>
      <w:r>
        <w:t>Pipeline identified validated HDT targets. Safety considerations necessitate careful patient stratification. Findings support adjunctive immunotherapies with TB implications.</w:t>
      </w:r>
    </w:p>
    <w:p>
      <w:pPr>
        <w:pStyle w:val="Heading1"/>
      </w:pPr>
      <w:r>
        <w:t>DECLARATIONS</w:t>
      </w:r>
    </w:p>
    <w:p>
      <w:r>
        <w:t>Ethical Approval: Computational study, no approval required.</w:t>
      </w:r>
    </w:p>
    <w:p>
      <w:r>
        <w:t>Conflicts: None declared.</w:t>
      </w:r>
    </w:p>
    <w:p>
      <w:r>
        <w:t>Funding: None.</w:t>
      </w:r>
    </w:p>
    <w:p>
      <w:r>
        <w:t>Data: https://github.com/hssling/Leprosy_drug_discovery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