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Dr Siddalingaiah H S</w:t>
      </w:r>
    </w:p>
    <w:p>
      <w:r>
        <w:t>Professor, Community Medicine, Shridevi Institute of Medical Sciences and Research Hospital, Tumkur</w:t>
      </w:r>
    </w:p>
    <w:p>
      <w:r>
        <w:t>Email: hssling@yahoo.com</w:t>
      </w:r>
    </w:p>
    <w:p>
      <w:r>
        <w:t>Phone: +91 8941087719</w:t>
      </w:r>
    </w:p>
    <w:p>
      <w:r>
        <w:t>ORCID: 0000-0002-4771-8285</w:t>
      </w:r>
    </w:p>
    <w:p/>
    <w:p>
      <w:r>
        <w:t>The Editor-in-Chief</w:t>
      </w:r>
    </w:p>
    <w:p>
      <w:r>
        <w:t>Tuberculosis</w:t>
      </w:r>
    </w:p>
    <w:p>
      <w:r>
        <w:t>Elsevier</w:t>
      </w:r>
    </w:p>
    <w:p/>
    <w:p>
      <w:r>
        <w:t>Dear Editor,</w:t>
      </w:r>
    </w:p>
    <w:p>
      <w:r>
        <w:t>I am pleased to submit the manuscript titled "Ligand-Based Virtual Screening of Mycobacterium tuberculosis InhA Inhibitors Using Real ChEMBL Bioactivity Data: A Resistance-Aware Computational Prioritization Study" for consideration as an Original Article in Tuberculosis.</w:t>
      </w:r>
    </w:p>
    <w:p>
      <w:r>
        <w:t>India carries the world's largest tuberculosis burden, with approximately 119,000 MDR-TB cases annually and a treatment success rate of only 59% — figures that underscore the urgent need for new therapeutic options. InhA (enoyl-acyl carrier protein reductase, Rv1484) is the enzymatic target left intact by the dominant isoniazid-resistance mutation (katG S315T), making it the most rational focus for direct-inhibitor discovery in MDR-TB.</w:t>
      </w:r>
    </w:p>
    <w:p>
      <w:r>
        <w:t>This study assembles 277 real, experimentally measured InhA IC50 values from ChEMBL, trains validated QSAR classifiers achieving ROC-AUC 0.961, and identifies CHEMBL3125270 (IC50 4 nM; pyrazole-benzofuran-pyrrolidine; MW 423 Da, cLogP 1.71, Lipinski-compliant) as the highest-priority computationally prioritized direct InhA inhibitor. No synthetic data, random imputation, or fabricated computational results were used at any stage. All analysis is fully reproducible from open-access scripts and publicly available databases.</w:t>
      </w:r>
    </w:p>
    <w:p>
      <w:r>
        <w:t>This work falls squarely within the scope of Tuberculosis: it addresses the molecular basis of MDR-TB drug resistance, employs a reproducible computational workflow grounded in published bioactivity data, and proposes specific compounds for prospective experimental follow-up in the TB drug discovery pipeline. The transparent reporting of computational limitations — including the absence of molecular docking and molecular dynamics — is itself a contribution to the field's scientific integrity.</w:t>
      </w:r>
    </w:p>
    <w:p>
      <w:r>
        <w:t>I confirm that this manuscript has not been published previously, is not under consideration for publication elsewhere, and all co-authors have approved the manuscript and agree with its submission. There are no competing interests to declare and no external funding was received.</w:t>
      </w:r>
    </w:p>
    <w:p>
      <w:r>
        <w:t>Thank you for considering this manuscript.</w:t>
      </w:r>
    </w:p>
    <w:p/>
    <w:p>
      <w:r>
        <w:t>Yours sincerely,</w:t>
      </w:r>
    </w:p>
    <w:p/>
    <w:p>
      <w:r>
        <w:t>Sincerely,</w:t>
      </w:r>
    </w:p>
    <w:p>
      <w:r>
        <w:t>Dr Siddalingaiah H 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