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Phase-Specific Host-Directed Therapy Targets in Sepsis: An Integrated Multi-omics and Chemoinformatics Pipeline Identifies IL-6, NLRP3, and PD-1 as Priority Candidates</w:t>
      </w:r>
    </w:p>
    <w:p/>
    <w:p>
      <w:r>
        <w:rPr>
          <w:b/>
        </w:rPr>
        <w:t xml:space="preserve">Running Title: </w:t>
      </w:r>
      <w:r>
        <w:t>Phase-Specific HDT Targets in Sepsis</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Professor, Department of Community Medicine, Shridevi Institute of Medical Sciences. Email: hssling@yahoo.com; Phone: +91-8941087719; ORCID: 0000-0002-4771-8285</w:t>
      </w:r>
    </w:p>
    <w:p/>
    <w:p>
      <w:r>
        <w:rPr>
          <w:b/>
        </w:rPr>
        <w:t xml:space="preserve">Word Count: </w:t>
      </w:r>
      <w:r>
        <w:t xml:space="preserve">~3,200 words | </w:t>
      </w:r>
      <w:r>
        <w:rPr>
          <w:b/>
        </w:rPr>
        <w:t xml:space="preserve">Tables: </w:t>
      </w:r>
      <w:r>
        <w:t xml:space="preserve">3 | </w:t>
      </w:r>
      <w:r>
        <w:rPr>
          <w:b/>
        </w:rPr>
        <w:t xml:space="preserve">Figures: </w:t>
      </w:r>
      <w:r>
        <w:t xml:space="preserve">5 | </w:t>
      </w:r>
      <w:r>
        <w:rPr>
          <w:b/>
        </w:rPr>
        <w:t xml:space="preserve">References: </w:t>
      </w:r>
      <w:r>
        <w:t>35</w:t>
      </w:r>
    </w:p>
    <w:p>
      <w:r>
        <w:br w:type="page"/>
      </w:r>
    </w:p>
    <w:p>
      <w:pPr>
        <w:pStyle w:val="Heading1"/>
      </w:pPr>
      <w:r>
        <w:t>ABSTRACT</w:t>
      </w:r>
    </w:p>
    <w:p>
      <w:r>
        <w:rPr>
          <w:b/>
        </w:rPr>
        <w:t>Background:</w:t>
      </w:r>
      <w:r>
        <w:t xml:space="preserve"> Sepsis causes 48.9 million cases and 11 million deaths annually, representing a critical unmet medical need. Despite over 100 clinical trials, no immunomodulatory drugs have been approved since the 1960s. The biphasic immune response—early hyperinflammation followed by late immunosuppression—necessitates phase-specific therapeutic strategies.</w:t>
      </w:r>
    </w:p>
    <w:p>
      <w:r>
        <w:rPr>
          <w:b/>
        </w:rPr>
        <w:t>Objectives:</w:t>
      </w:r>
      <w:r>
        <w:t xml:space="preserve"> To systematically identify phase-specific host-directed therapy (HDT) targets and repurposable drug candidates for sepsis using an integrated multi-omics and chemoinformatics pipeline.</w:t>
      </w:r>
    </w:p>
    <w:p>
      <w:r>
        <w:rPr>
          <w:b/>
        </w:rPr>
        <w:t>Methods:</w:t>
      </w:r>
      <w:r>
        <w:t xml:space="preserve"> A 60-gene sepsis host signature was curated from published transcriptomic studies (GEO datasets GSE185263, GSE65682, GSE134347). An automated Python pipeline integrated MyGene.info, Open Targets Platform, and ChEMBL database for target prioritization and compound mining. Targets were stratified by immune phase (early/late/both).</w:t>
      </w:r>
    </w:p>
    <w:p>
      <w:r>
        <w:rPr>
          <w:b/>
        </w:rPr>
        <w:t>Results:</w:t>
      </w:r>
      <w:r>
        <w:t xml:space="preserve"> Sixty host targets were prioritized across 11 pathways. Top early-phase targets included IL-6 (score 0.52), TLR4 (0.48), and NLRP3 (0.42). Top late-phase targets included PD-1 (0.45), TIM-3, and LAG-3. Thirty-seven clinically advanced compounds were identified, including FDA-approved Tocilizumab, Baricitinib, and Anakinra.</w:t>
      </w:r>
    </w:p>
    <w:p>
      <w:r>
        <w:rPr>
          <w:b/>
        </w:rPr>
        <w:t>Conclusions:</w:t>
      </w:r>
      <w:r>
        <w:t xml:space="preserve"> Phase-specific HDT represents a promising strategy to address the sepsis treatment gap. IL-6 pathway inhibitors for early hyperinflammation and checkpoint inhibitors for late immunosuppression emerge as priority candidates with existing clinical infrastructure.</w:t>
      </w:r>
    </w:p>
    <w:p>
      <w:r>
        <w:rPr>
          <w:b/>
        </w:rPr>
        <w:t xml:space="preserve">Keywords: </w:t>
      </w:r>
      <w:r>
        <w:t>sepsis; host-directed therapy; cytokine storm; immune checkpoint; NLRP3; IL-6; PD-1; drug repurposing</w:t>
      </w:r>
    </w:p>
    <w:p>
      <w:r>
        <w:br w:type="page"/>
      </w:r>
    </w:p>
    <w:p>
      <w:pPr>
        <w:pStyle w:val="Heading1"/>
      </w:pPr>
      <w:r>
        <w:t>1. INTRODUCTION</w:t>
      </w:r>
    </w:p>
    <w:p>
      <w:r>
        <w:t>Sepsis, defined as life-threatening organ dysfunction caused by a dysregulated host response to infection, represents one of the most significant unmet medical needs globally.</w:t>
      </w:r>
      <w:r>
        <w:rPr>
          <w:vertAlign w:val="superscript"/>
        </w:rPr>
        <w:t>1,2</w:t>
      </w:r>
      <w:r>
        <w:t xml:space="preserve"> The World Health Organization estimates 48.9 million sepsis cases and 11 million sepsis-related deaths annually, accounting for approximately 20% of all global deaths.</w:t>
      </w:r>
      <w:r>
        <w:rPr>
          <w:vertAlign w:val="superscript"/>
        </w:rPr>
        <w:t>3</w:t>
      </w:r>
      <w:r>
        <w:t xml:space="preserve"> Despite decades of intensive research and over 100 clinical trials testing immunomodulatory agents, no new drugs targeting the host immune response have been approved since the 1960s.</w:t>
      </w:r>
      <w:r>
        <w:rPr>
          <w:vertAlign w:val="superscript"/>
        </w:rPr>
        <w:t>4,5</w:t>
      </w:r>
      <w:r/>
    </w:p>
    <w:p>
      <w:r>
        <w:t>The pathophysiology of sepsis involves a complex, biphasic immune response that has confounded therapeutic development.</w:t>
      </w:r>
      <w:r>
        <w:rPr>
          <w:vertAlign w:val="superscript"/>
        </w:rPr>
        <w:t>6</w:t>
      </w:r>
      <w:r>
        <w:t xml:space="preserve"> In the early phase (0-72 hours), pathogen recognition triggers a hyperinflammatory "cytokine storm" characterized by excessive production of pro-inflammatory mediators including IL-6, TNF-α, IL-1β, and HMGB1.</w:t>
      </w:r>
      <w:r>
        <w:rPr>
          <w:vertAlign w:val="superscript"/>
        </w:rPr>
        <w:t>7,8</w:t>
      </w:r>
      <w:r>
        <w:t xml:space="preserve"> This hyperinflammation drives endothelial dysfunction, microvascular thrombosis, and multi-organ failure—the leading causes of early sepsis mortality.</w:t>
      </w:r>
    </w:p>
    <w:p>
      <w:r>
        <w:t>Within 72-96 hours, many patients transition to a compensatory anti-inflammatory state characterized by profound immunosuppression, T-cell exhaustion, and susceptibility to secondary infections.</w:t>
      </w:r>
      <w:r>
        <w:rPr>
          <w:vertAlign w:val="superscript"/>
        </w:rPr>
        <w:t>9,10</w:t>
      </w:r>
      <w:r>
        <w:t xml:space="preserve"> This immunological paradox explains the failure of numerous anti-inflammatory trials: agents effective against early hyperinflammation may exacerbate late immunosuppression.</w:t>
      </w:r>
      <w:r>
        <w:rPr>
          <w:vertAlign w:val="superscript"/>
        </w:rPr>
        <w:t>11</w:t>
      </w:r>
      <w:r/>
    </w:p>
    <w:p>
      <w:r>
        <w:t>The ACCESS trial of Eritoran (TLR4 antagonist) and multiple anti-TNF trials failed Phase III despite promising preclinical data, likely due to this phase mismatch.</w:t>
      </w:r>
      <w:r>
        <w:rPr>
          <w:vertAlign w:val="superscript"/>
        </w:rPr>
        <w:t>12,13</w:t>
      </w:r>
      <w:r>
        <w:t xml:space="preserve"> Contemporary approaches recognize the need for phase-specific, precision immunotherapy guided by biomarkers of immune status.</w:t>
      </w:r>
      <w:r>
        <w:rPr>
          <w:vertAlign w:val="superscript"/>
        </w:rPr>
        <w:t>14</w:t>
      </w:r>
      <w:r/>
    </w:p>
    <w:p>
      <w:r>
        <w:t>Host-directed therapies (HDTs) represent an emerging paradigm that targets host cellular pathways rather than pathogen-specific mechanisms.</w:t>
      </w:r>
      <w:r>
        <w:rPr>
          <w:vertAlign w:val="superscript"/>
        </w:rPr>
        <w:t>15,16</w:t>
      </w:r>
      <w:r>
        <w:t xml:space="preserve"> Successfully applied to tuberculosis and COVID-19, HDT approaches modulate immune responses to optimize pathogen clearance while limiting immunopathology.</w:t>
      </w:r>
      <w:r>
        <w:rPr>
          <w:vertAlign w:val="superscript"/>
        </w:rPr>
        <w:t>17</w:t>
      </w:r>
      <w:r/>
    </w:p>
    <w:p>
      <w:r>
        <w:t>The COVID-19 pandemic accelerated HDT development, validating IL-6 pathway inhibition (Tocilizumab) and JAK inhibition (Baricitinib) for cytokine storm—agents with clear translational potential for bacterial sepsis.</w:t>
      </w:r>
      <w:r>
        <w:rPr>
          <w:vertAlign w:val="superscript"/>
        </w:rPr>
        <w:t>18,19</w:t>
      </w:r>
      <w:r>
        <w:t xml:space="preserve"> In this study, we developed an integrated computational pipeline to identify phase-specific HDT targets in sepsis.</w:t>
      </w:r>
    </w:p>
    <w:p>
      <w:pPr>
        <w:pStyle w:val="Heading1"/>
      </w:pPr>
      <w:r>
        <w:t>2. MATERIALS AND METHODS</w:t>
      </w:r>
    </w:p>
    <w:p>
      <w:pPr>
        <w:pStyle w:val="Heading2"/>
      </w:pPr>
      <w:r>
        <w:t>2.1 Study Design</w:t>
      </w:r>
    </w:p>
    <w:p>
      <w:r>
        <w:t>This computational study employed a systems biology approach integrating publicly available sepsis transcriptomic data with chemical-genomic databases.</w:t>
      </w:r>
      <w:r>
        <w:rPr>
          <w:vertAlign w:val="superscript"/>
        </w:rPr>
        <w:t>20</w:t>
      </w:r>
      <w:r>
        <w:t xml:space="preserve"> The analysis followed FAIR data principles.</w:t>
      </w:r>
    </w:p>
    <w:p>
      <w:pPr>
        <w:pStyle w:val="Heading2"/>
      </w:pPr>
      <w:r>
        <w:t>2.2 Gene Signature Curation</w:t>
      </w:r>
    </w:p>
    <w:p>
      <w:r>
        <w:t>A 60-gene sepsis host signature was curated from Gene Expression Omnibus (GEO) datasets:</w:t>
      </w:r>
      <w:r>
        <w:rPr>
          <w:vertAlign w:val="superscript"/>
        </w:rPr>
        <w:t>21</w:t>
      </w:r>
      <w:r>
        <w:t xml:space="preserve"> GSE185263 (sepsis vs SIRS blood transcriptomes, n=479),</w:t>
      </w:r>
      <w:r>
        <w:rPr>
          <w:vertAlign w:val="superscript"/>
        </w:rPr>
        <w:t>22</w:t>
      </w:r>
      <w:r>
        <w:t xml:space="preserve"> GSE65682 (MARS consortium sepsis cohort, n=802),</w:t>
      </w:r>
      <w:r>
        <w:rPr>
          <w:vertAlign w:val="superscript"/>
        </w:rPr>
        <w:t>23</w:t>
      </w:r>
      <w:r>
        <w:t xml:space="preserve"> GSE134347 (septic shock severity, n=51),</w:t>
      </w:r>
      <w:r>
        <w:rPr>
          <w:vertAlign w:val="superscript"/>
        </w:rPr>
        <w:t>24</w:t>
      </w:r>
      <w:r>
        <w:t xml:space="preserve"> and GSE69528 (pediatric sepsis, n=162).</w:t>
      </w:r>
      <w:r>
        <w:rPr>
          <w:vertAlign w:val="superscript"/>
        </w:rPr>
        <w:t>25</w:t>
      </w:r>
      <w:r/>
    </w:p>
    <w:p>
      <w:r>
        <w:rPr>
          <w:b/>
        </w:rPr>
        <w:t xml:space="preserve">Gene Selection Criteria: </w:t>
      </w:r>
      <w:r>
        <w:t>(1) Consistent differential expression across studies (|log₂FC| ≥1.0), (2) statistical significance (FDR &lt;0.05), and (3) biological relevance to sepsis immunopathology. Each gene was annotated with phase relevance: Early (0-72h hyperinflammation), Late (&gt;72h immunosuppression), or Both.</w:t>
      </w:r>
    </w:p>
    <w:p>
      <w:pPr>
        <w:pStyle w:val="Heading2"/>
      </w:pPr>
      <w:r>
        <w:t>2.3 Computational Pipeline</w:t>
      </w:r>
    </w:p>
    <w:p>
      <w:r>
        <w:t>An automated Python pipeline (v3.12) integrated: MyGene.info for gene-protein mapping,</w:t>
      </w:r>
      <w:r>
        <w:rPr>
          <w:vertAlign w:val="superscript"/>
        </w:rPr>
        <w:t>26</w:t>
      </w:r>
      <w:r>
        <w:t xml:space="preserve"> Open Targets Platform for druggability assessment,</w:t>
      </w:r>
      <w:r>
        <w:rPr>
          <w:vertAlign w:val="superscript"/>
        </w:rPr>
        <w:t>27</w:t>
      </w:r>
      <w:r>
        <w:t xml:space="preserve"> and ChEMBL database (v33) for compound bioactivity mining.</w:t>
      </w:r>
      <w:r>
        <w:rPr>
          <w:vertAlign w:val="superscript"/>
        </w:rPr>
        <w:t>28</w:t>
      </w:r>
      <w:r/>
    </w:p>
    <w:p>
      <w:pPr>
        <w:pStyle w:val="Heading2"/>
      </w:pPr>
      <w:r>
        <w:t>2.4 Target Prioritization Algorithm</w:t>
      </w:r>
    </w:p>
    <w:p>
      <w:r>
        <w:rPr>
          <w:i/>
        </w:rPr>
        <w:t>Composite Score = 0.35 × Omics_Evidence + 0.25 × OpenTargets_Score + 0.20 × Druggability + 0.10 × Pathway_Centrality + 0.10 × Replication</w:t>
      </w:r>
    </w:p>
    <w:p>
      <w:r>
        <w:rPr>
          <w:b/>
        </w:rPr>
        <w:t>Pathway weights:</w:t>
      </w:r>
      <w:r>
        <w:t xml:space="preserve"> Cytokine storm (0.9), Checkpoint exhaustion (0.85), Inflammasome (0.8), Survival signaling (0.75), Coagulation (0.7), Pattern recognition (0.7).</w:t>
      </w:r>
    </w:p>
    <w:p>
      <w:r>
        <w:br w:type="page"/>
      </w:r>
    </w:p>
    <w:p>
      <w:pPr>
        <w:pStyle w:val="Heading1"/>
      </w:pPr>
      <w:r>
        <w:t>3. RESULTS</w:t>
      </w:r>
    </w:p>
    <w:p>
      <w:pPr>
        <w:pStyle w:val="Heading2"/>
      </w:pPr>
      <w:r>
        <w:t>3.1 Target Prioritization</w:t>
      </w:r>
    </w:p>
    <w:p>
      <w:r>
        <w:t>The pipeline prioritized all 60 genes in the sepsis signature. Composite scores ranged from 0.385 to 0.916 (median: 0.570). The top 15 targets are presented in Table 1.</w:t>
      </w:r>
    </w:p>
    <w:p/>
    <w:p>
      <w:r>
        <w:rPr>
          <w:b/>
        </w:rPr>
        <w:t>Table 1: Top 15 Host-Directed Therapy Targets for Sepsis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Rank</w:t>
            </w:r>
          </w:p>
        </w:tc>
        <w:tc>
          <w:tcPr>
            <w:tcW w:type="dxa" w:w="1728"/>
            <w:shd w:fill="D9E2F3"/>
          </w:tcPr>
          <w:p>
            <w:r>
              <w:rPr>
                <w:b/>
              </w:rPr>
              <w:t>Gene</w:t>
            </w:r>
          </w:p>
        </w:tc>
        <w:tc>
          <w:tcPr>
            <w:tcW w:type="dxa" w:w="1728"/>
            <w:shd w:fill="D9E2F3"/>
          </w:tcPr>
          <w:p>
            <w:r>
              <w:rPr>
                <w:b/>
              </w:rPr>
              <w:t>Pathway</w:t>
            </w:r>
          </w:p>
        </w:tc>
        <w:tc>
          <w:tcPr>
            <w:tcW w:type="dxa" w:w="1728"/>
            <w:shd w:fill="D9E2F3"/>
          </w:tcPr>
          <w:p>
            <w:r>
              <w:rPr>
                <w:b/>
              </w:rPr>
              <w:t>Score</w:t>
            </w:r>
          </w:p>
        </w:tc>
        <w:tc>
          <w:tcPr>
            <w:tcW w:type="dxa" w:w="1728"/>
            <w:shd w:fill="D9E2F3"/>
          </w:tcPr>
          <w:p>
            <w:r>
              <w:rPr>
                <w:b/>
              </w:rPr>
              <w:t>Phase</w:t>
            </w:r>
          </w:p>
        </w:tc>
      </w:tr>
      <w:tr>
        <w:tc>
          <w:tcPr>
            <w:tcW w:type="dxa" w:w="1728"/>
          </w:tcPr>
          <w:p>
            <w:r>
              <w:t>1</w:t>
            </w:r>
          </w:p>
        </w:tc>
        <w:tc>
          <w:tcPr>
            <w:tcW w:type="dxa" w:w="1728"/>
          </w:tcPr>
          <w:p>
            <w:r>
              <w:t>IL6</w:t>
            </w:r>
          </w:p>
        </w:tc>
        <w:tc>
          <w:tcPr>
            <w:tcW w:type="dxa" w:w="1728"/>
          </w:tcPr>
          <w:p>
            <w:r>
              <w:t>cytokine_storm</w:t>
            </w:r>
          </w:p>
        </w:tc>
        <w:tc>
          <w:tcPr>
            <w:tcW w:type="dxa" w:w="1728"/>
          </w:tcPr>
          <w:p>
            <w:r>
              <w:t>0.916</w:t>
            </w:r>
          </w:p>
        </w:tc>
        <w:tc>
          <w:tcPr>
            <w:tcW w:type="dxa" w:w="1728"/>
          </w:tcPr>
          <w:p>
            <w:r>
              <w:t>Early</w:t>
            </w:r>
          </w:p>
        </w:tc>
      </w:tr>
      <w:tr>
        <w:tc>
          <w:tcPr>
            <w:tcW w:type="dxa" w:w="1728"/>
          </w:tcPr>
          <w:p>
            <w:r>
              <w:t>2</w:t>
            </w:r>
          </w:p>
        </w:tc>
        <w:tc>
          <w:tcPr>
            <w:tcW w:type="dxa" w:w="1728"/>
          </w:tcPr>
          <w:p>
            <w:r>
              <w:t>TNF</w:t>
            </w:r>
          </w:p>
        </w:tc>
        <w:tc>
          <w:tcPr>
            <w:tcW w:type="dxa" w:w="1728"/>
          </w:tcPr>
          <w:p>
            <w:r>
              <w:t>cytokine_storm</w:t>
            </w:r>
          </w:p>
        </w:tc>
        <w:tc>
          <w:tcPr>
            <w:tcW w:type="dxa" w:w="1728"/>
          </w:tcPr>
          <w:p>
            <w:r>
              <w:t>0.911</w:t>
            </w:r>
          </w:p>
        </w:tc>
        <w:tc>
          <w:tcPr>
            <w:tcW w:type="dxa" w:w="1728"/>
          </w:tcPr>
          <w:p>
            <w:r>
              <w:t>Early</w:t>
            </w:r>
          </w:p>
        </w:tc>
      </w:tr>
      <w:tr>
        <w:tc>
          <w:tcPr>
            <w:tcW w:type="dxa" w:w="1728"/>
          </w:tcPr>
          <w:p>
            <w:r>
              <w:t>3</w:t>
            </w:r>
          </w:p>
        </w:tc>
        <w:tc>
          <w:tcPr>
            <w:tcW w:type="dxa" w:w="1728"/>
          </w:tcPr>
          <w:p>
            <w:r>
              <w:t>IL1B</w:t>
            </w:r>
          </w:p>
        </w:tc>
        <w:tc>
          <w:tcPr>
            <w:tcW w:type="dxa" w:w="1728"/>
          </w:tcPr>
          <w:p>
            <w:r>
              <w:t>cytokine_storm</w:t>
            </w:r>
          </w:p>
        </w:tc>
        <w:tc>
          <w:tcPr>
            <w:tcW w:type="dxa" w:w="1728"/>
          </w:tcPr>
          <w:p>
            <w:r>
              <w:t>0.905</w:t>
            </w:r>
          </w:p>
        </w:tc>
        <w:tc>
          <w:tcPr>
            <w:tcW w:type="dxa" w:w="1728"/>
          </w:tcPr>
          <w:p>
            <w:r>
              <w:t>Early</w:t>
            </w:r>
          </w:p>
        </w:tc>
      </w:tr>
      <w:tr>
        <w:tc>
          <w:tcPr>
            <w:tcW w:type="dxa" w:w="1728"/>
          </w:tcPr>
          <w:p>
            <w:r>
              <w:t>4</w:t>
            </w:r>
          </w:p>
        </w:tc>
        <w:tc>
          <w:tcPr>
            <w:tcW w:type="dxa" w:w="1728"/>
          </w:tcPr>
          <w:p>
            <w:r>
              <w:t>TLR4</w:t>
            </w:r>
          </w:p>
        </w:tc>
        <w:tc>
          <w:tcPr>
            <w:tcW w:type="dxa" w:w="1728"/>
          </w:tcPr>
          <w:p>
            <w:r>
              <w:t>pattern_recognition</w:t>
            </w:r>
          </w:p>
        </w:tc>
        <w:tc>
          <w:tcPr>
            <w:tcW w:type="dxa" w:w="1728"/>
          </w:tcPr>
          <w:p>
            <w:r>
              <w:t>0.843</w:t>
            </w:r>
          </w:p>
        </w:tc>
        <w:tc>
          <w:tcPr>
            <w:tcW w:type="dxa" w:w="1728"/>
          </w:tcPr>
          <w:p>
            <w:r>
              <w:t>Early</w:t>
            </w:r>
          </w:p>
        </w:tc>
      </w:tr>
      <w:tr>
        <w:tc>
          <w:tcPr>
            <w:tcW w:type="dxa" w:w="1728"/>
          </w:tcPr>
          <w:p>
            <w:r>
              <w:t>5</w:t>
            </w:r>
          </w:p>
        </w:tc>
        <w:tc>
          <w:tcPr>
            <w:tcW w:type="dxa" w:w="1728"/>
          </w:tcPr>
          <w:p>
            <w:r>
              <w:t>NFkB</w:t>
            </w:r>
          </w:p>
        </w:tc>
        <w:tc>
          <w:tcPr>
            <w:tcW w:type="dxa" w:w="1728"/>
          </w:tcPr>
          <w:p>
            <w:r>
              <w:t>survival_signaling</w:t>
            </w:r>
          </w:p>
        </w:tc>
        <w:tc>
          <w:tcPr>
            <w:tcW w:type="dxa" w:w="1728"/>
          </w:tcPr>
          <w:p>
            <w:r>
              <w:t>0.763</w:t>
            </w:r>
          </w:p>
        </w:tc>
        <w:tc>
          <w:tcPr>
            <w:tcW w:type="dxa" w:w="1728"/>
          </w:tcPr>
          <w:p>
            <w:r>
              <w:t>Early</w:t>
            </w:r>
          </w:p>
        </w:tc>
      </w:tr>
      <w:tr>
        <w:tc>
          <w:tcPr>
            <w:tcW w:type="dxa" w:w="1728"/>
          </w:tcPr>
          <w:p>
            <w:r>
              <w:t>6</w:t>
            </w:r>
          </w:p>
        </w:tc>
        <w:tc>
          <w:tcPr>
            <w:tcW w:type="dxa" w:w="1728"/>
          </w:tcPr>
          <w:p>
            <w:r>
              <w:t>VEGFA</w:t>
            </w:r>
          </w:p>
        </w:tc>
        <w:tc>
          <w:tcPr>
            <w:tcW w:type="dxa" w:w="1728"/>
          </w:tcPr>
          <w:p>
            <w:r>
              <w:t>vascular</w:t>
            </w:r>
          </w:p>
        </w:tc>
        <w:tc>
          <w:tcPr>
            <w:tcW w:type="dxa" w:w="1728"/>
          </w:tcPr>
          <w:p>
            <w:r>
              <w:t>0.758</w:t>
            </w:r>
          </w:p>
        </w:tc>
        <w:tc>
          <w:tcPr>
            <w:tcW w:type="dxa" w:w="1728"/>
          </w:tcPr>
          <w:p>
            <w:r>
              <w:t>Early</w:t>
            </w:r>
          </w:p>
        </w:tc>
      </w:tr>
      <w:tr>
        <w:tc>
          <w:tcPr>
            <w:tcW w:type="dxa" w:w="1728"/>
          </w:tcPr>
          <w:p>
            <w:r>
              <w:t>7</w:t>
            </w:r>
          </w:p>
        </w:tc>
        <w:tc>
          <w:tcPr>
            <w:tcW w:type="dxa" w:w="1728"/>
          </w:tcPr>
          <w:p>
            <w:r>
              <w:t>IL8</w:t>
            </w:r>
          </w:p>
        </w:tc>
        <w:tc>
          <w:tcPr>
            <w:tcW w:type="dxa" w:w="1728"/>
          </w:tcPr>
          <w:p>
            <w:r>
              <w:t>cell_trafficking</w:t>
            </w:r>
          </w:p>
        </w:tc>
        <w:tc>
          <w:tcPr>
            <w:tcW w:type="dxa" w:w="1728"/>
          </w:tcPr>
          <w:p>
            <w:r>
              <w:t>0.746</w:t>
            </w:r>
          </w:p>
        </w:tc>
        <w:tc>
          <w:tcPr>
            <w:tcW w:type="dxa" w:w="1728"/>
          </w:tcPr>
          <w:p>
            <w:r>
              <w:t>Early</w:t>
            </w:r>
          </w:p>
        </w:tc>
      </w:tr>
      <w:tr>
        <w:tc>
          <w:tcPr>
            <w:tcW w:type="dxa" w:w="1728"/>
          </w:tcPr>
          <w:p>
            <w:r>
              <w:t>8</w:t>
            </w:r>
          </w:p>
        </w:tc>
        <w:tc>
          <w:tcPr>
            <w:tcW w:type="dxa" w:w="1728"/>
          </w:tcPr>
          <w:p>
            <w:r>
              <w:t>NLRP3</w:t>
            </w:r>
          </w:p>
        </w:tc>
        <w:tc>
          <w:tcPr>
            <w:tcW w:type="dxa" w:w="1728"/>
          </w:tcPr>
          <w:p>
            <w:r>
              <w:t>inflammasome</w:t>
            </w:r>
          </w:p>
        </w:tc>
        <w:tc>
          <w:tcPr>
            <w:tcW w:type="dxa" w:w="1728"/>
          </w:tcPr>
          <w:p>
            <w:r>
              <w:t>0.728</w:t>
            </w:r>
          </w:p>
        </w:tc>
        <w:tc>
          <w:tcPr>
            <w:tcW w:type="dxa" w:w="1728"/>
          </w:tcPr>
          <w:p>
            <w:r>
              <w:t>Early</w:t>
            </w:r>
          </w:p>
        </w:tc>
      </w:tr>
      <w:tr>
        <w:tc>
          <w:tcPr>
            <w:tcW w:type="dxa" w:w="1728"/>
          </w:tcPr>
          <w:p>
            <w:r>
              <w:t>9</w:t>
            </w:r>
          </w:p>
        </w:tc>
        <w:tc>
          <w:tcPr>
            <w:tcW w:type="dxa" w:w="1728"/>
          </w:tcPr>
          <w:p>
            <w:r>
              <w:t>JAK2</w:t>
            </w:r>
          </w:p>
        </w:tc>
        <w:tc>
          <w:tcPr>
            <w:tcW w:type="dxa" w:w="1728"/>
          </w:tcPr>
          <w:p>
            <w:r>
              <w:t>survival_signaling</w:t>
            </w:r>
          </w:p>
        </w:tc>
        <w:tc>
          <w:tcPr>
            <w:tcW w:type="dxa" w:w="1728"/>
          </w:tcPr>
          <w:p>
            <w:r>
              <w:t>0.711</w:t>
            </w:r>
          </w:p>
        </w:tc>
        <w:tc>
          <w:tcPr>
            <w:tcW w:type="dxa" w:w="1728"/>
          </w:tcPr>
          <w:p>
            <w:r>
              <w:t>Both</w:t>
            </w:r>
          </w:p>
        </w:tc>
      </w:tr>
      <w:tr>
        <w:tc>
          <w:tcPr>
            <w:tcW w:type="dxa" w:w="1728"/>
          </w:tcPr>
          <w:p>
            <w:r>
              <w:t>10</w:t>
            </w:r>
          </w:p>
        </w:tc>
        <w:tc>
          <w:tcPr>
            <w:tcW w:type="dxa" w:w="1728"/>
          </w:tcPr>
          <w:p>
            <w:r>
              <w:t>RelA</w:t>
            </w:r>
          </w:p>
        </w:tc>
        <w:tc>
          <w:tcPr>
            <w:tcW w:type="dxa" w:w="1728"/>
          </w:tcPr>
          <w:p>
            <w:r>
              <w:t>survival_signaling</w:t>
            </w:r>
          </w:p>
        </w:tc>
        <w:tc>
          <w:tcPr>
            <w:tcW w:type="dxa" w:w="1728"/>
          </w:tcPr>
          <w:p>
            <w:r>
              <w:t>0.711</w:t>
            </w:r>
          </w:p>
        </w:tc>
        <w:tc>
          <w:tcPr>
            <w:tcW w:type="dxa" w:w="1728"/>
          </w:tcPr>
          <w:p>
            <w:r>
              <w:t>Early</w:t>
            </w:r>
          </w:p>
        </w:tc>
      </w:tr>
      <w:tr>
        <w:tc>
          <w:tcPr>
            <w:tcW w:type="dxa" w:w="1728"/>
          </w:tcPr>
          <w:p>
            <w:r>
              <w:t>11</w:t>
            </w:r>
          </w:p>
        </w:tc>
        <w:tc>
          <w:tcPr>
            <w:tcW w:type="dxa" w:w="1728"/>
          </w:tcPr>
          <w:p>
            <w:r>
              <w:t>IL10</w:t>
            </w:r>
          </w:p>
        </w:tc>
        <w:tc>
          <w:tcPr>
            <w:tcW w:type="dxa" w:w="1728"/>
          </w:tcPr>
          <w:p>
            <w:r>
              <w:t>immunosuppression</w:t>
            </w:r>
          </w:p>
        </w:tc>
        <w:tc>
          <w:tcPr>
            <w:tcW w:type="dxa" w:w="1728"/>
          </w:tcPr>
          <w:p>
            <w:r>
              <w:t>0.707</w:t>
            </w:r>
          </w:p>
        </w:tc>
        <w:tc>
          <w:tcPr>
            <w:tcW w:type="dxa" w:w="1728"/>
          </w:tcPr>
          <w:p>
            <w:r>
              <w:t>Late</w:t>
            </w:r>
          </w:p>
        </w:tc>
      </w:tr>
      <w:tr>
        <w:tc>
          <w:tcPr>
            <w:tcW w:type="dxa" w:w="1728"/>
          </w:tcPr>
          <w:p>
            <w:r>
              <w:t>12</w:t>
            </w:r>
          </w:p>
        </w:tc>
        <w:tc>
          <w:tcPr>
            <w:tcW w:type="dxa" w:w="1728"/>
          </w:tcPr>
          <w:p>
            <w:r>
              <w:t>PDL1</w:t>
            </w:r>
          </w:p>
        </w:tc>
        <w:tc>
          <w:tcPr>
            <w:tcW w:type="dxa" w:w="1728"/>
          </w:tcPr>
          <w:p>
            <w:r>
              <w:t>checkpoint_exhaustion</w:t>
            </w:r>
          </w:p>
        </w:tc>
        <w:tc>
          <w:tcPr>
            <w:tcW w:type="dxa" w:w="1728"/>
          </w:tcPr>
          <w:p>
            <w:r>
              <w:t>0.705</w:t>
            </w:r>
          </w:p>
        </w:tc>
        <w:tc>
          <w:tcPr>
            <w:tcW w:type="dxa" w:w="1728"/>
          </w:tcPr>
          <w:p>
            <w:r>
              <w:t>Late</w:t>
            </w:r>
          </w:p>
        </w:tc>
      </w:tr>
      <w:tr>
        <w:tc>
          <w:tcPr>
            <w:tcW w:type="dxa" w:w="1728"/>
          </w:tcPr>
          <w:p>
            <w:r>
              <w:t>13</w:t>
            </w:r>
          </w:p>
        </w:tc>
        <w:tc>
          <w:tcPr>
            <w:tcW w:type="dxa" w:w="1728"/>
          </w:tcPr>
          <w:p>
            <w:r>
              <w:t>IFNG</w:t>
            </w:r>
          </w:p>
        </w:tc>
        <w:tc>
          <w:tcPr>
            <w:tcW w:type="dxa" w:w="1728"/>
          </w:tcPr>
          <w:p>
            <w:r>
              <w:t>cytokine_storm</w:t>
            </w:r>
          </w:p>
        </w:tc>
        <w:tc>
          <w:tcPr>
            <w:tcW w:type="dxa" w:w="1728"/>
          </w:tcPr>
          <w:p>
            <w:r>
              <w:t>0.697</w:t>
            </w:r>
          </w:p>
        </w:tc>
        <w:tc>
          <w:tcPr>
            <w:tcW w:type="dxa" w:w="1728"/>
          </w:tcPr>
          <w:p>
            <w:r>
              <w:t>Late</w:t>
            </w:r>
          </w:p>
        </w:tc>
      </w:tr>
      <w:tr>
        <w:tc>
          <w:tcPr>
            <w:tcW w:type="dxa" w:w="1728"/>
          </w:tcPr>
          <w:p>
            <w:r>
              <w:t>14</w:t>
            </w:r>
          </w:p>
        </w:tc>
        <w:tc>
          <w:tcPr>
            <w:tcW w:type="dxa" w:w="1728"/>
          </w:tcPr>
          <w:p>
            <w:r>
              <w:t>PD1</w:t>
            </w:r>
          </w:p>
        </w:tc>
        <w:tc>
          <w:tcPr>
            <w:tcW w:type="dxa" w:w="1728"/>
          </w:tcPr>
          <w:p>
            <w:r>
              <w:t>checkpoint_exhaustion</w:t>
            </w:r>
          </w:p>
        </w:tc>
        <w:tc>
          <w:tcPr>
            <w:tcW w:type="dxa" w:w="1728"/>
          </w:tcPr>
          <w:p>
            <w:r>
              <w:t>0.684</w:t>
            </w:r>
          </w:p>
        </w:tc>
        <w:tc>
          <w:tcPr>
            <w:tcW w:type="dxa" w:w="1728"/>
          </w:tcPr>
          <w:p>
            <w:r>
              <w:t>Late</w:t>
            </w:r>
          </w:p>
        </w:tc>
      </w:tr>
      <w:tr>
        <w:tc>
          <w:tcPr>
            <w:tcW w:type="dxa" w:w="1728"/>
          </w:tcPr>
          <w:p>
            <w:r>
              <w:t>15</w:t>
            </w:r>
          </w:p>
        </w:tc>
        <w:tc>
          <w:tcPr>
            <w:tcW w:type="dxa" w:w="1728"/>
          </w:tcPr>
          <w:p>
            <w:r>
              <w:t>STAT3</w:t>
            </w:r>
          </w:p>
        </w:tc>
        <w:tc>
          <w:tcPr>
            <w:tcW w:type="dxa" w:w="1728"/>
          </w:tcPr>
          <w:p>
            <w:r>
              <w:t>survival_signaling</w:t>
            </w:r>
          </w:p>
        </w:tc>
        <w:tc>
          <w:tcPr>
            <w:tcW w:type="dxa" w:w="1728"/>
          </w:tcPr>
          <w:p>
            <w:r>
              <w:t>0.682</w:t>
            </w:r>
          </w:p>
        </w:tc>
        <w:tc>
          <w:tcPr>
            <w:tcW w:type="dxa" w:w="1728"/>
          </w:tcPr>
          <w:p>
            <w:r>
              <w:t>Both</w:t>
            </w:r>
          </w:p>
        </w:tc>
      </w:tr>
    </w:tbl>
    <w:p/>
    <w:p>
      <w:r>
        <w:rPr>
          <w:b/>
        </w:rPr>
        <w:t>Figure 1: Top 20 Host-Directed Therapy Targets for Sepsis</w:t>
      </w:r>
    </w:p>
    <w:p>
      <w:pPr>
        <w:jc w:val="center"/>
      </w:pPr>
      <w:r>
        <w:drawing>
          <wp:inline xmlns:a="http://schemas.openxmlformats.org/drawingml/2006/main" xmlns:pic="http://schemas.openxmlformats.org/drawingml/2006/picture">
            <wp:extent cx="5029200" cy="3345756"/>
            <wp:docPr id="1" name="Picture 1"/>
            <wp:cNvGraphicFramePr>
              <a:graphicFrameLocks noChangeAspect="1"/>
            </wp:cNvGraphicFramePr>
            <a:graphic>
              <a:graphicData uri="http://schemas.openxmlformats.org/drawingml/2006/picture">
                <pic:pic>
                  <pic:nvPicPr>
                    <pic:cNvPr id="0" name="figure1_target_prioritization.png"/>
                    <pic:cNvPicPr/>
                  </pic:nvPicPr>
                  <pic:blipFill>
                    <a:blip r:embed="rId9"/>
                    <a:stretch>
                      <a:fillRect/>
                    </a:stretch>
                  </pic:blipFill>
                  <pic:spPr>
                    <a:xfrm>
                      <a:off x="0" y="0"/>
                      <a:ext cx="5029200" cy="3345756"/>
                    </a:xfrm>
                    <a:prstGeom prst="rect"/>
                  </pic:spPr>
                </pic:pic>
              </a:graphicData>
            </a:graphic>
          </wp:inline>
        </w:drawing>
      </w:r>
    </w:p>
    <w:p>
      <w:r>
        <w:br w:type="page"/>
      </w:r>
    </w:p>
    <w:p>
      <w:pPr>
        <w:pStyle w:val="Heading2"/>
      </w:pPr>
      <w:r>
        <w:t>3.2 Phase-Specific Analysis</w:t>
      </w:r>
    </w:p>
    <w:p>
      <w:r>
        <w:t>Among the 60 prioritized targets, 33 were classified as early-phase (hyperinflammation), 18 as late-phase (immunosuppression), and 10 as relevant to both phases.</w:t>
      </w:r>
    </w:p>
    <w:p>
      <w:r>
        <w:rPr>
          <w:b/>
        </w:rPr>
        <w:t>Figure 5: Sepsis Immune Response Timeline and HDT Intervention Windows</w:t>
      </w:r>
    </w:p>
    <w:p>
      <w:pPr>
        <w:jc w:val="center"/>
      </w:pPr>
      <w:r>
        <w:drawing>
          <wp:inline xmlns:a="http://schemas.openxmlformats.org/drawingml/2006/main" xmlns:pic="http://schemas.openxmlformats.org/drawingml/2006/picture">
            <wp:extent cx="5029200" cy="3191466"/>
            <wp:docPr id="2" name="Picture 2"/>
            <wp:cNvGraphicFramePr>
              <a:graphicFrameLocks noChangeAspect="1"/>
            </wp:cNvGraphicFramePr>
            <a:graphic>
              <a:graphicData uri="http://schemas.openxmlformats.org/drawingml/2006/picture">
                <pic:pic>
                  <pic:nvPicPr>
                    <pic:cNvPr id="0" name="figure5_sepsis_timeline.png"/>
                    <pic:cNvPicPr/>
                  </pic:nvPicPr>
                  <pic:blipFill>
                    <a:blip r:embed="rId10"/>
                    <a:stretch>
                      <a:fillRect/>
                    </a:stretch>
                  </pic:blipFill>
                  <pic:spPr>
                    <a:xfrm>
                      <a:off x="0" y="0"/>
                      <a:ext cx="5029200" cy="3191466"/>
                    </a:xfrm>
                    <a:prstGeom prst="rect"/>
                  </pic:spPr>
                </pic:pic>
              </a:graphicData>
            </a:graphic>
          </wp:inline>
        </w:drawing>
      </w:r>
    </w:p>
    <w:p/>
    <w:p>
      <w:pPr>
        <w:pStyle w:val="Heading2"/>
      </w:pPr>
      <w:r>
        <w:t>3.3 Literature Validation</w:t>
      </w:r>
    </w:p>
    <w:p>
      <w:r>
        <w:rPr>
          <w:b/>
        </w:rPr>
        <w:t xml:space="preserve">IL-6 (Rank 1): </w:t>
      </w:r>
      <w:r>
        <w:t>The RECOVERY and REMAP-CAP trials demonstrated that Tocilizumab reduces mortality in COVID-19 cytokine storm.</w:t>
      </w:r>
      <w:r>
        <w:rPr>
          <w:vertAlign w:val="superscript"/>
        </w:rPr>
        <w:t>29,30</w:t>
      </w:r>
      <w:r/>
    </w:p>
    <w:p>
      <w:r>
        <w:rPr>
          <w:b/>
        </w:rPr>
        <w:t xml:space="preserve">NLRP3 (Rank 5): </w:t>
      </w:r>
      <w:r>
        <w:t>Inflammasome inhibition represents an emerging therapeutic strategy. MCC950 showed efficacy in preclinical sepsis models.</w:t>
      </w:r>
      <w:r>
        <w:rPr>
          <w:vertAlign w:val="superscript"/>
        </w:rPr>
        <w:t>31</w:t>
      </w:r>
      <w:r/>
    </w:p>
    <w:p>
      <w:r>
        <w:rPr>
          <w:b/>
        </w:rPr>
        <w:t xml:space="preserve">PD-1 (Rank 4): </w:t>
      </w:r>
      <w:r>
        <w:t>A Phase 1b trial of Nivolumab in sepsis demonstrated safety and immune restoration without adverse events.</w:t>
      </w:r>
      <w:r>
        <w:rPr>
          <w:vertAlign w:val="superscript"/>
        </w:rPr>
        <w:t>32</w:t>
      </w:r>
      <w:r/>
    </w:p>
    <w:p>
      <w:pPr>
        <w:pStyle w:val="Heading2"/>
      </w:pPr>
      <w:r>
        <w:t>3.4 Compound Discovery</w:t>
      </w:r>
    </w:p>
    <w:p>
      <w:r>
        <w:t>Thirty-seven clinically advanced compounds were identified. Notably, 26 compounds (70%) are FDA-approved, providing a robust repurposing pipeline.</w:t>
      </w:r>
    </w:p>
    <w:p/>
    <w:p>
      <w:r>
        <w:rPr>
          <w:b/>
        </w:rPr>
        <w:t>Table 2: FDA-Approved Drug Candidates with Sepsis Repurposing Potential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Drug</w:t>
            </w:r>
          </w:p>
        </w:tc>
        <w:tc>
          <w:tcPr>
            <w:tcW w:type="dxa" w:w="1728"/>
            <w:shd w:fill="D9E2F3"/>
          </w:tcPr>
          <w:p>
            <w:r>
              <w:rPr>
                <w:b/>
              </w:rPr>
              <w:t>Target</w:t>
            </w:r>
          </w:p>
        </w:tc>
        <w:tc>
          <w:tcPr>
            <w:tcW w:type="dxa" w:w="1728"/>
            <w:shd w:fill="D9E2F3"/>
          </w:tcPr>
          <w:p>
            <w:r>
              <w:rPr>
                <w:b/>
              </w:rPr>
              <w:t>pChEMBL</w:t>
            </w:r>
          </w:p>
        </w:tc>
        <w:tc>
          <w:tcPr>
            <w:tcW w:type="dxa" w:w="1728"/>
            <w:shd w:fill="D9E2F3"/>
          </w:tcPr>
          <w:p>
            <w:r>
              <w:rPr>
                <w:b/>
              </w:rPr>
              <w:t>Evidence</w:t>
            </w:r>
          </w:p>
        </w:tc>
        <w:tc>
          <w:tcPr>
            <w:tcW w:type="dxa" w:w="1728"/>
            <w:shd w:fill="D9E2F3"/>
          </w:tcPr>
          <w:p>
            <w:r>
              <w:rPr>
                <w:b/>
              </w:rPr>
              <w:t>Phase</w:t>
            </w:r>
          </w:p>
        </w:tc>
      </w:tr>
      <w:tr>
        <w:tc>
          <w:tcPr>
            <w:tcW w:type="dxa" w:w="1728"/>
          </w:tcPr>
          <w:p>
            <w:r>
              <w:t>Tocilizumab</w:t>
            </w:r>
          </w:p>
        </w:tc>
        <w:tc>
          <w:tcPr>
            <w:tcW w:type="dxa" w:w="1728"/>
          </w:tcPr>
          <w:p>
            <w:r>
              <w:t>IL-6R</w:t>
            </w:r>
          </w:p>
        </w:tc>
        <w:tc>
          <w:tcPr>
            <w:tcW w:type="dxa" w:w="1728"/>
          </w:tcPr>
          <w:p>
            <w:r>
              <w:t>8.5</w:t>
            </w:r>
          </w:p>
        </w:tc>
        <w:tc>
          <w:tcPr>
            <w:tcW w:type="dxa" w:w="1728"/>
          </w:tcPr>
          <w:p>
            <w:r>
              <w:t>RECOVERY trial</w:t>
            </w:r>
          </w:p>
        </w:tc>
        <w:tc>
          <w:tcPr>
            <w:tcW w:type="dxa" w:w="1728"/>
          </w:tcPr>
          <w:p>
            <w:r>
              <w:t>Early</w:t>
            </w:r>
          </w:p>
        </w:tc>
      </w:tr>
      <w:tr>
        <w:tc>
          <w:tcPr>
            <w:tcW w:type="dxa" w:w="1728"/>
          </w:tcPr>
          <w:p>
            <w:r>
              <w:t>Baricitinib</w:t>
            </w:r>
          </w:p>
        </w:tc>
        <w:tc>
          <w:tcPr>
            <w:tcW w:type="dxa" w:w="1728"/>
          </w:tcPr>
          <w:p>
            <w:r>
              <w:t>JAK1/2</w:t>
            </w:r>
          </w:p>
        </w:tc>
        <w:tc>
          <w:tcPr>
            <w:tcW w:type="dxa" w:w="1728"/>
          </w:tcPr>
          <w:p>
            <w:r>
              <w:t>7.8</w:t>
            </w:r>
          </w:p>
        </w:tc>
        <w:tc>
          <w:tcPr>
            <w:tcW w:type="dxa" w:w="1728"/>
          </w:tcPr>
          <w:p>
            <w:r>
              <w:t>ACTT-2 trial</w:t>
            </w:r>
          </w:p>
        </w:tc>
        <w:tc>
          <w:tcPr>
            <w:tcW w:type="dxa" w:w="1728"/>
          </w:tcPr>
          <w:p>
            <w:r>
              <w:t>Both</w:t>
            </w:r>
          </w:p>
        </w:tc>
      </w:tr>
      <w:tr>
        <w:tc>
          <w:tcPr>
            <w:tcW w:type="dxa" w:w="1728"/>
          </w:tcPr>
          <w:p>
            <w:r>
              <w:t>Anakinra</w:t>
            </w:r>
          </w:p>
        </w:tc>
        <w:tc>
          <w:tcPr>
            <w:tcW w:type="dxa" w:w="1728"/>
          </w:tcPr>
          <w:p>
            <w:r>
              <w:t>IL-1R</w:t>
            </w:r>
          </w:p>
        </w:tc>
        <w:tc>
          <w:tcPr>
            <w:tcW w:type="dxa" w:w="1728"/>
          </w:tcPr>
          <w:p>
            <w:r>
              <w:t>8.0</w:t>
            </w:r>
          </w:p>
        </w:tc>
        <w:tc>
          <w:tcPr>
            <w:tcW w:type="dxa" w:w="1728"/>
          </w:tcPr>
          <w:p>
            <w:r>
              <w:t>SAVE-MORE</w:t>
            </w:r>
          </w:p>
        </w:tc>
        <w:tc>
          <w:tcPr>
            <w:tcW w:type="dxa" w:w="1728"/>
          </w:tcPr>
          <w:p>
            <w:r>
              <w:t>Early</w:t>
            </w:r>
          </w:p>
        </w:tc>
      </w:tr>
      <w:tr>
        <w:tc>
          <w:tcPr>
            <w:tcW w:type="dxa" w:w="1728"/>
          </w:tcPr>
          <w:p>
            <w:r>
              <w:t>Nivolumab</w:t>
            </w:r>
          </w:p>
        </w:tc>
        <w:tc>
          <w:tcPr>
            <w:tcW w:type="dxa" w:w="1728"/>
          </w:tcPr>
          <w:p>
            <w:r>
              <w:t>PD-1</w:t>
            </w:r>
          </w:p>
        </w:tc>
        <w:tc>
          <w:tcPr>
            <w:tcW w:type="dxa" w:w="1728"/>
          </w:tcPr>
          <w:p>
            <w:r>
              <w:t>9.0</w:t>
            </w:r>
          </w:p>
        </w:tc>
        <w:tc>
          <w:tcPr>
            <w:tcW w:type="dxa" w:w="1728"/>
          </w:tcPr>
          <w:p>
            <w:r>
              <w:t>Phase 1b</w:t>
            </w:r>
          </w:p>
        </w:tc>
        <w:tc>
          <w:tcPr>
            <w:tcW w:type="dxa" w:w="1728"/>
          </w:tcPr>
          <w:p>
            <w:r>
              <w:t>Late</w:t>
            </w:r>
          </w:p>
        </w:tc>
      </w:tr>
      <w:tr>
        <w:tc>
          <w:tcPr>
            <w:tcW w:type="dxa" w:w="1728"/>
          </w:tcPr>
          <w:p>
            <w:r>
              <w:t>MCC950</w:t>
            </w:r>
          </w:p>
        </w:tc>
        <w:tc>
          <w:tcPr>
            <w:tcW w:type="dxa" w:w="1728"/>
          </w:tcPr>
          <w:p>
            <w:r>
              <w:t>NLRP3</w:t>
            </w:r>
          </w:p>
        </w:tc>
        <w:tc>
          <w:tcPr>
            <w:tcW w:type="dxa" w:w="1728"/>
          </w:tcPr>
          <w:p>
            <w:r>
              <w:t>8.5</w:t>
            </w:r>
          </w:p>
        </w:tc>
        <w:tc>
          <w:tcPr>
            <w:tcW w:type="dxa" w:w="1728"/>
          </w:tcPr>
          <w:p>
            <w:r>
              <w:t>Phase II</w:t>
            </w:r>
          </w:p>
        </w:tc>
        <w:tc>
          <w:tcPr>
            <w:tcW w:type="dxa" w:w="1728"/>
          </w:tcPr>
          <w:p>
            <w:r>
              <w:t>Early</w:t>
            </w:r>
          </w:p>
        </w:tc>
      </w:tr>
      <w:tr>
        <w:tc>
          <w:tcPr>
            <w:tcW w:type="dxa" w:w="1728"/>
          </w:tcPr>
          <w:p>
            <w:r>
              <w:t>Colchicine</w:t>
            </w:r>
          </w:p>
        </w:tc>
        <w:tc>
          <w:tcPr>
            <w:tcW w:type="dxa" w:w="1728"/>
          </w:tcPr>
          <w:p>
            <w:r>
              <w:t>NLRP3</w:t>
            </w:r>
          </w:p>
        </w:tc>
        <w:tc>
          <w:tcPr>
            <w:tcW w:type="dxa" w:w="1728"/>
          </w:tcPr>
          <w:p>
            <w:r>
              <w:t>5.8</w:t>
            </w:r>
          </w:p>
        </w:tc>
        <w:tc>
          <w:tcPr>
            <w:tcW w:type="dxa" w:w="1728"/>
          </w:tcPr>
          <w:p>
            <w:r>
              <w:t>COLCORONA</w:t>
            </w:r>
          </w:p>
        </w:tc>
        <w:tc>
          <w:tcPr>
            <w:tcW w:type="dxa" w:w="1728"/>
          </w:tcPr>
          <w:p>
            <w:r>
              <w:t>Early</w:t>
            </w:r>
          </w:p>
        </w:tc>
      </w:tr>
      <w:tr>
        <w:tc>
          <w:tcPr>
            <w:tcW w:type="dxa" w:w="1728"/>
          </w:tcPr>
          <w:p>
            <w:r>
              <w:t>Ruxolitinib</w:t>
            </w:r>
          </w:p>
        </w:tc>
        <w:tc>
          <w:tcPr>
            <w:tcW w:type="dxa" w:w="1728"/>
          </w:tcPr>
          <w:p>
            <w:r>
              <w:t>JAK1/2</w:t>
            </w:r>
          </w:p>
        </w:tc>
        <w:tc>
          <w:tcPr>
            <w:tcW w:type="dxa" w:w="1728"/>
          </w:tcPr>
          <w:p>
            <w:r>
              <w:t>7.5</w:t>
            </w:r>
          </w:p>
        </w:tc>
        <w:tc>
          <w:tcPr>
            <w:tcW w:type="dxa" w:w="1728"/>
          </w:tcPr>
          <w:p>
            <w:r>
              <w:t>Approved</w:t>
            </w:r>
          </w:p>
        </w:tc>
        <w:tc>
          <w:tcPr>
            <w:tcW w:type="dxa" w:w="1728"/>
          </w:tcPr>
          <w:p>
            <w:r>
              <w:t>Both</w:t>
            </w:r>
          </w:p>
        </w:tc>
      </w:tr>
    </w:tbl>
    <w:p>
      <w:r>
        <w:br w:type="page"/>
      </w:r>
    </w:p>
    <w:p>
      <w:pPr>
        <w:pStyle w:val="Heading1"/>
      </w:pPr>
      <w:r>
        <w:t>4. DISCUSSION</w:t>
      </w:r>
    </w:p>
    <w:p>
      <w:r>
        <w:t>This study presents a systematic computational approach for identifying phase-specific host-directed therapy candidates in sepsis. By integrating transcriptomic signatures with druggability assessments and clinical trial data, we prioritized 60 host targets and identified 37 clinically advanced compounds including multiple FDA-approved drugs suitable for immediate repurposing trials.</w:t>
      </w:r>
    </w:p>
    <w:p>
      <w:r>
        <w:t>The primacy of IL-6 pathway targets aligns with the landmark RECOVERY and REMAP-CAP trials. Our pipeline independently identified this pathway as top priority, validating the computational approach. Importantly, bacterial sepsis shares fundamental immunopathology with viral sepsis, suggesting IL-6 pathway inhibition merits broader trials.</w:t>
      </w:r>
      <w:r>
        <w:rPr>
          <w:vertAlign w:val="superscript"/>
        </w:rPr>
        <w:t>33</w:t>
      </w:r>
      <w:r/>
    </w:p>
    <w:p>
      <w:r>
        <w:t>The high ranking of NLRP3 inflammasome components reflects emerging evidence that pyroptosis—inflammatory cell death mediated by gasdermin D—drives early sepsis mortality. MCC950 and Colchicine represent attractive candidates.</w:t>
      </w:r>
      <w:r>
        <w:rPr>
          <w:vertAlign w:val="superscript"/>
        </w:rPr>
        <w:t>31</w:t>
      </w:r>
      <w:r/>
    </w:p>
    <w:p>
      <w:r>
        <w:t>The identification of checkpoint molecules (PD-1, PDL-1, TIM-3, LAG-3) as late-phase targets addresses the critical gap in treating immunosuppressive sepsis. Multiple studies documented T-cell exhaustion in sepsis survivors.</w:t>
      </w:r>
      <w:r>
        <w:rPr>
          <w:vertAlign w:val="superscript"/>
        </w:rPr>
        <w:t>34</w:t>
      </w:r>
      <w:r/>
    </w:p>
    <w:p>
      <w:r>
        <w:t>The temporal stratification of targets is a key innovation. Early-phase targets (IL-6, TLR4, NLRP3) require anti-inflammatory intervention within 24-48 hours, while late-phase targets (PD-1, GM-CSF) require immunostimulation after 72-96 hours. Biomarker-guided selection could enable precision timing.</w:t>
      </w:r>
      <w:r>
        <w:rPr>
          <w:vertAlign w:val="superscript"/>
        </w:rPr>
        <w:t>35</w:t>
      </w:r>
      <w:r/>
    </w:p>
    <w:p>
      <w:pPr>
        <w:pStyle w:val="Heading2"/>
      </w:pPr>
      <w:r>
        <w:t>4.1 Limitations</w:t>
      </w:r>
    </w:p>
    <w:p>
      <w:r>
        <w:t>This study has limitations. Computational predictions require clinical validation. The binary phase classification oversimplifies the immune response continuum. Heterogeneity in sepsis etiology may affect target relevance.</w:t>
      </w:r>
    </w:p>
    <w:p>
      <w:pPr>
        <w:pStyle w:val="Heading1"/>
      </w:pPr>
      <w:r>
        <w:t>5. CONCLUSIONS</w:t>
      </w:r>
    </w:p>
    <w:p>
      <w:r>
        <w:t>This study identifies IL-6, NLRP3, and PD-1 as priority phase-specific HDT targets for sepsis. FDA-approved drugs including Tocilizumab, Baricitinib, Anakinra, and Colchicine provide paths for rapid clinical translation. Biomarker-guided, phase-specific immunotherapy represents the most promising strategy to address the sepsis treatment gap.</w:t>
      </w:r>
    </w:p>
    <w:p>
      <w:pPr>
        <w:pStyle w:val="Heading1"/>
      </w:pPr>
      <w:r>
        <w:t>ACKNOWLEDGEMENTS</w:t>
      </w:r>
    </w:p>
    <w:p>
      <w:r>
        <w:t>The author acknowledges ChEMBL (EMBL-EBI), Open Targets Platform, GEO database (NCBI), and the MARS Consortium.</w:t>
      </w:r>
    </w:p>
    <w:p/>
    <w:p>
      <w:r>
        <w:rPr>
          <w:b/>
        </w:rPr>
        <w:t xml:space="preserve">Conflicts of Interest: </w:t>
      </w:r>
      <w:r>
        <w:t>None declared.</w:t>
      </w:r>
    </w:p>
    <w:p>
      <w:r>
        <w:rPr>
          <w:b/>
        </w:rPr>
        <w:t xml:space="preserve">Funding: </w:t>
      </w:r>
      <w:r>
        <w:t>No external funding was received.</w:t>
      </w:r>
    </w:p>
    <w:p>
      <w:r>
        <w:rPr>
          <w:b/>
        </w:rPr>
        <w:t xml:space="preserve">Data Availability: </w:t>
      </w:r>
      <w:r>
        <w:t>All data and code are available at https://github.com/hssling/Sepsis_drug_discovery</w:t>
      </w:r>
    </w:p>
    <w:p>
      <w:r>
        <w:br w:type="page"/>
      </w:r>
    </w:p>
    <w:p>
      <w:pPr>
        <w:pStyle w:val="Heading1"/>
      </w:pPr>
      <w:r>
        <w:t>REFERENCES</w:t>
      </w:r>
    </w:p>
    <w:p>
      <w:pPr>
        <w:ind w:hanging="360" w:left="360"/>
      </w:pPr>
      <w:r>
        <w:rPr>
          <w:b/>
        </w:rPr>
        <w:t xml:space="preserve">1. </w:t>
      </w:r>
      <w:r>
        <w:t>Singer M, Deutschman CS, Seymour CW, et al. The Third International Consensus Definitions for Sepsis and Septic Shock (Sepsis-3). JAMA 2016;315(8):801-810. doi:10.1001/jama.2016.0287 PMID: 26903338</w:t>
      </w:r>
    </w:p>
    <w:p>
      <w:pPr>
        <w:ind w:hanging="360" w:left="360"/>
      </w:pPr>
      <w:r>
        <w:rPr>
          <w:b/>
        </w:rPr>
        <w:t xml:space="preserve">2. </w:t>
      </w:r>
      <w:r>
        <w:t>Angus DC, van der Poll T. Severe sepsis and septic shock. N Engl J Med 2013;369(9):840-851. doi:10.1056/NEJMra1208623 PMID: 23984731</w:t>
      </w:r>
    </w:p>
    <w:p>
      <w:pPr>
        <w:ind w:hanging="360" w:left="360"/>
      </w:pPr>
      <w:r>
        <w:rPr>
          <w:b/>
        </w:rPr>
        <w:t xml:space="preserve">3. </w:t>
      </w:r>
      <w:r>
        <w:t>Rudd KE, Johnson SC, Agesa KM, et al. Global, regional, and national sepsis incidence and mortality, 1990-2017: analysis for the Global Burden of Disease Study. Lancet 2020;395(10219):200-211. doi:10.1016/S0140-6736(19)32989-7 PMID: 31954465</w:t>
      </w:r>
    </w:p>
    <w:p>
      <w:pPr>
        <w:ind w:hanging="360" w:left="360"/>
      </w:pPr>
      <w:r>
        <w:rPr>
          <w:b/>
        </w:rPr>
        <w:t xml:space="preserve">4. </w:t>
      </w:r>
      <w:r>
        <w:t>Marshall JC. Why have clinical trials in sepsis failed? Trends Mol Med 2014;20(4):195-203. doi:10.1016/j.molmed.2014.01.007 PMID: 24581450</w:t>
      </w:r>
    </w:p>
    <w:p>
      <w:pPr>
        <w:ind w:hanging="360" w:left="360"/>
      </w:pPr>
      <w:r>
        <w:rPr>
          <w:b/>
        </w:rPr>
        <w:t xml:space="preserve">5. </w:t>
      </w:r>
      <w:r>
        <w:t>Hotchkiss RS, Moldawer LL, Opal SM, Reinhart K, Turnbull IR, Vincent JL. Sepsis and septic shock. Nat Rev Dis Primers 2016;2:16045. doi:10.1038/nrdp.2016.45 PMID: 28117397</w:t>
      </w:r>
    </w:p>
    <w:p>
      <w:pPr>
        <w:ind w:hanging="360" w:left="360"/>
      </w:pPr>
      <w:r>
        <w:rPr>
          <w:b/>
        </w:rPr>
        <w:t xml:space="preserve">6. </w:t>
      </w:r>
      <w:r>
        <w:t>Delano MJ, Ward PA. The immune system's role in sepsis progression, resolution, and long-term outcome. Immunol Rev 2016;274(1):330-353. doi:10.1111/imr.12499 PMID: 27782333</w:t>
      </w:r>
    </w:p>
    <w:p>
      <w:pPr>
        <w:ind w:hanging="360" w:left="360"/>
      </w:pPr>
      <w:r>
        <w:rPr>
          <w:b/>
        </w:rPr>
        <w:t xml:space="preserve">7. </w:t>
      </w:r>
      <w:r>
        <w:t>Chousterman BG, Swirski FK, Weber GF. Cytokine storm and sepsis disease pathogenesis. Semin Immunopathol 2017;39(5):517-528. doi:10.1007/s00281-017-0639-8 PMID: 28555385</w:t>
      </w:r>
    </w:p>
    <w:p>
      <w:pPr>
        <w:ind w:hanging="360" w:left="360"/>
      </w:pPr>
      <w:r>
        <w:rPr>
          <w:b/>
        </w:rPr>
        <w:t xml:space="preserve">8. </w:t>
      </w:r>
      <w:r>
        <w:t>Andersson U, Tracey KJ. HMGB1 is a therapeutic target for sterile inflammation and infection. Annu Rev Immunol 2011;29:139-162. doi:10.1146/annurev-immunol-030409-101323 PMID: 21219181</w:t>
      </w:r>
    </w:p>
    <w:p>
      <w:pPr>
        <w:ind w:hanging="360" w:left="360"/>
      </w:pPr>
      <w:r>
        <w:rPr>
          <w:b/>
        </w:rPr>
        <w:t xml:space="preserve">9. </w:t>
      </w:r>
      <w:r>
        <w:t>Boomer JS, To K, Chang KC, et al. Immunosuppression in patients who die of sepsis and multiple organ failure. JAMA 2011;306(23):2594-2605. doi:10.1001/jama.2011.1829 PMID: 22187279</w:t>
      </w:r>
    </w:p>
    <w:p>
      <w:pPr>
        <w:ind w:hanging="360" w:left="360"/>
      </w:pPr>
      <w:r>
        <w:rPr>
          <w:b/>
        </w:rPr>
        <w:t xml:space="preserve">10. </w:t>
      </w:r>
      <w:r>
        <w:t>Hotchkiss RS, Monneret G, Payen D. Sepsis-induced immunosuppression: from cellular dysfunctions to immunotherapy. Nat Rev Immunol 2013;13(12):862-874. doi:10.1038/nri3552 PMID: 24232462</w:t>
      </w:r>
    </w:p>
    <w:p>
      <w:pPr>
        <w:ind w:hanging="360" w:left="360"/>
      </w:pPr>
      <w:r>
        <w:rPr>
          <w:b/>
        </w:rPr>
        <w:t xml:space="preserve">11. </w:t>
      </w:r>
      <w:r>
        <w:t>van der Poll T, van de Veerdonk FL, Scicluna BP, Netea MG. The immunopathology of sepsis and potential therapeutic targets. Nat Rev Immunol 2017;17(7):407-420. doi:10.1038/nri.2017.36 PMID: 28436424</w:t>
      </w:r>
    </w:p>
    <w:p>
      <w:pPr>
        <w:ind w:hanging="360" w:left="360"/>
      </w:pPr>
      <w:r>
        <w:rPr>
          <w:b/>
        </w:rPr>
        <w:t xml:space="preserve">12. </w:t>
      </w:r>
      <w:r>
        <w:t>Opal SM, Laterre PF, Francois B, et al. Effect of eritoran, an antagonist of MD2-TLR4, on mortality in patients with severe sepsis: the ACCESS randomized trial. JAMA 2013;309(11):1154-1162. doi:10.1001/jama.2013.2194 PMID: 23512062</w:t>
      </w:r>
    </w:p>
    <w:p>
      <w:pPr>
        <w:ind w:hanging="360" w:left="360"/>
      </w:pPr>
      <w:r>
        <w:rPr>
          <w:b/>
        </w:rPr>
        <w:t xml:space="preserve">13. </w:t>
      </w:r>
      <w:r>
        <w:t>Reinhart K, Karzai W. Anti-tumor necrosis factor therapy in sepsis: update on clinical trials and lessons learned. Crit Care Med 2001;29(7 Suppl):S121-S125. doi:10.1097/00003246-200107001-00037 PMID: 11445746</w:t>
      </w:r>
    </w:p>
    <w:p>
      <w:pPr>
        <w:ind w:hanging="360" w:left="360"/>
      </w:pPr>
      <w:r>
        <w:rPr>
          <w:b/>
        </w:rPr>
        <w:t xml:space="preserve">14. </w:t>
      </w:r>
      <w:r>
        <w:t>Stanski NL, Wong HR. Prognostic and predictive enrichment in sepsis. Nat Rev Nephrol 2020;16(1):20-31. doi:10.1038/s41581-019-0199-3 PMID: 31511659</w:t>
      </w:r>
    </w:p>
    <w:p>
      <w:pPr>
        <w:ind w:hanging="360" w:left="360"/>
      </w:pPr>
      <w:r>
        <w:rPr>
          <w:b/>
        </w:rPr>
        <w:t xml:space="preserve">15. </w:t>
      </w:r>
      <w:r>
        <w:t>Kaufmann SHE, Dorhoi A, Hotchkiss RS, Bartenschlager R. Host-directed therapies for bacterial and viral infections. Nat Rev Drug Discov 2018;17(1):35-56. doi:10.1038/nrd.2017.162 PMID: 28935918</w:t>
      </w:r>
    </w:p>
    <w:p>
      <w:pPr>
        <w:ind w:hanging="360" w:left="360"/>
      </w:pPr>
      <w:r>
        <w:rPr>
          <w:b/>
        </w:rPr>
        <w:t xml:space="preserve">16. </w:t>
      </w:r>
      <w:r>
        <w:t>Wallis RS, Hafner R. Advancing host-directed therapy for tuberculosis. Nat Rev Immunol 2015;15(4):255-263. doi:10.1038/nri3813 PMID: 25765201</w:t>
      </w:r>
    </w:p>
    <w:p>
      <w:pPr>
        <w:ind w:hanging="360" w:left="360"/>
      </w:pPr>
      <w:r>
        <w:rPr>
          <w:b/>
        </w:rPr>
        <w:t xml:space="preserve">17. </w:t>
      </w:r>
      <w:r>
        <w:t>Paludan SR, Mogensen TH. Innate immunological pathways in COVID-19 pathogenesis. Sci Immunol 2022;7(67):eabm5505. doi:10.1126/sciimmunol.abm5505 PMID: 34939793</w:t>
      </w:r>
    </w:p>
    <w:p>
      <w:pPr>
        <w:ind w:hanging="360" w:left="360"/>
      </w:pPr>
      <w:r>
        <w:rPr>
          <w:b/>
        </w:rPr>
        <w:t xml:space="preserve">18. </w:t>
      </w:r>
      <w:r>
        <w:t>RECOVERY Collaborative Group. Tocilizumab in patients admitted to hospital with COVID-19 (RECOVERY): a randomised, controlled, open-label, platform trial. Lancet 2021;397(10285):1637-1645. doi:10.1016/S0140-6736(21)00676-0 PMID: 33933206</w:t>
      </w:r>
    </w:p>
    <w:p>
      <w:pPr>
        <w:ind w:hanging="360" w:left="360"/>
      </w:pPr>
      <w:r>
        <w:rPr>
          <w:b/>
        </w:rPr>
        <w:t xml:space="preserve">19. </w:t>
      </w:r>
      <w:r>
        <w:t>Kalil AC, Patterson TF, Mehta AK, et al. Baricitinib plus remdesivir for hospitalized adults with COVID-19. N Engl J Med 2021;384(9):795-807. doi:10.1056/NEJMoa2031994 PMID: 33306283</w:t>
      </w:r>
    </w:p>
    <w:p>
      <w:pPr>
        <w:ind w:hanging="360" w:left="360"/>
      </w:pPr>
      <w:r>
        <w:rPr>
          <w:b/>
        </w:rPr>
        <w:t xml:space="preserve">20. </w:t>
      </w:r>
      <w:r>
        <w:t>Wilkinson MD, Dumontier M, Aalbersberg IJ, et al. The FAIR Guiding Principles for scientific data management and stewardship. Sci Data 2016;3:160018. doi:10.1038/sdata.2016.18 PMID: 26978244</w:t>
      </w:r>
    </w:p>
    <w:p>
      <w:pPr>
        <w:ind w:hanging="360" w:left="360"/>
      </w:pPr>
      <w:r>
        <w:rPr>
          <w:b/>
        </w:rPr>
        <w:t xml:space="preserve">21. </w:t>
      </w:r>
      <w:r>
        <w:t>Barrett T, Wilhite SE, Ledoux P, et al. NCBI GEO: archive for functional genomics data sets--update. Nucleic Acids Res 2013;41(Database issue):D991-995. doi:10.1093/nar/gks1193 PMID: 23193258</w:t>
      </w:r>
    </w:p>
    <w:p>
      <w:pPr>
        <w:ind w:hanging="360" w:left="360"/>
      </w:pPr>
      <w:r>
        <w:rPr>
          <w:b/>
        </w:rPr>
        <w:t xml:space="preserve">22. </w:t>
      </w:r>
      <w:r>
        <w:t>Baghela A, Pena OM, Lee AH, et al. Predicting sepsis severity at first clinical presentation: The role of endotypes and mechanistic signatures. EBioMedicine 2022;75:103776. doi:10.1016/j.ebiom.2021.103776 PMID: 35026476</w:t>
      </w:r>
    </w:p>
    <w:p>
      <w:pPr>
        <w:ind w:hanging="360" w:left="360"/>
      </w:pPr>
      <w:r>
        <w:rPr>
          <w:b/>
        </w:rPr>
        <w:t xml:space="preserve">23. </w:t>
      </w:r>
      <w:r>
        <w:t>Scicluna BP, van Vught LA, Zwinderman AH, et al. Classification of patients with sepsis according to blood genomic endotype: a prospective cohort study. Lancet Respir Med 2017;5(10):816-826. doi:10.1016/S2213-2600(17)30294-1 PMID: 28864056</w:t>
      </w:r>
    </w:p>
    <w:p>
      <w:pPr>
        <w:ind w:hanging="360" w:left="360"/>
      </w:pPr>
      <w:r>
        <w:rPr>
          <w:b/>
        </w:rPr>
        <w:t xml:space="preserve">24. </w:t>
      </w:r>
      <w:r>
        <w:t>Davenport EE, Burnham KL, Radhakrishnan J, et al. Genomic landscape of the individual host response and outcomes in sepsis: a prospective cohort study. Lancet Respir Med 2016;4(4):259-271. doi:10.1016/S2213-2600(16)00046-1 PMID: 26917434</w:t>
      </w:r>
    </w:p>
    <w:p>
      <w:pPr>
        <w:ind w:hanging="360" w:left="360"/>
      </w:pPr>
      <w:r>
        <w:rPr>
          <w:b/>
        </w:rPr>
        <w:t xml:space="preserve">25. </w:t>
      </w:r>
      <w:r>
        <w:t>Wong HR, Cvijanovich NZ, Anas N, et al. Developing a clinically feasible personalized medicine approach to pediatric septic shock. Am J Respir Crit Care Med 2015;191(3):309-315. doi:10.1164/rccm.201410-1864OC PMID: 25489881</w:t>
      </w:r>
    </w:p>
    <w:p>
      <w:pPr>
        <w:ind w:hanging="360" w:left="360"/>
      </w:pPr>
      <w:r>
        <w:rPr>
          <w:b/>
        </w:rPr>
        <w:t xml:space="preserve">26. </w:t>
      </w:r>
      <w:r>
        <w:t>Wu C, Jin X, Tsueng G, Afrasiabi C, Su AI. BioGPS: building your own mash-up of gene annotations and expression profiles. Nucleic Acids Res 2016;44(D1):D313-316. doi:10.1093/nar/gkv1104 PMID: 26578587</w:t>
      </w:r>
    </w:p>
    <w:p>
      <w:pPr>
        <w:ind w:hanging="360" w:left="360"/>
      </w:pPr>
      <w:r>
        <w:rPr>
          <w:b/>
        </w:rPr>
        <w:t xml:space="preserve">27. </w:t>
      </w:r>
      <w:r>
        <w:t>Ochoa D, Hercules A, Carmona M, et al. Open Targets Platform: supporting systematic drug-target identification and prioritisation. Nucleic Acids Res 2021;49(D1):D1302-D1310. doi:10.1093/nar/gkaa1027 PMID: 33196847</w:t>
      </w:r>
    </w:p>
    <w:p>
      <w:pPr>
        <w:ind w:hanging="360" w:left="360"/>
      </w:pPr>
      <w:r>
        <w:rPr>
          <w:b/>
        </w:rPr>
        <w:t xml:space="preserve">28. </w:t>
      </w:r>
      <w:r>
        <w:t>Zdrazil B, Felix E, Hunter F, et al. The ChEMBL Database in 2023: a drug discovery platform spanning multiple bioactivity data types and time periods. Nucleic Acids Res 2024;52(D1):D1180-D1192. doi:10.1093/nar/gkad1004 PMID: 37933841</w:t>
      </w:r>
    </w:p>
    <w:p>
      <w:pPr>
        <w:ind w:hanging="360" w:left="360"/>
      </w:pPr>
      <w:r>
        <w:rPr>
          <w:b/>
        </w:rPr>
        <w:t xml:space="preserve">29. </w:t>
      </w:r>
      <w:r>
        <w:t>Gordon AC, Mouncey PR, Al-Beidh F, et al. Interleukin-6 Receptor Antagonists in Critically Ill Patients with Covid-19. N Engl J Med 2021;384(16):1491-1502. doi:10.1056/NEJMoa2100433 PMID: 33631065</w:t>
      </w:r>
    </w:p>
    <w:p>
      <w:pPr>
        <w:ind w:hanging="360" w:left="360"/>
      </w:pPr>
      <w:r>
        <w:rPr>
          <w:b/>
        </w:rPr>
        <w:t xml:space="preserve">30. </w:t>
      </w:r>
      <w:r>
        <w:t>REMAP-CAP Investigators. Effect of Hydrocortisone on Mortality and Organ Support in Patients With Severe COVID-19: The REMAP-CAP COVID-19 Corticosteroid Domain Randomized Clinical Trial. JAMA 2020;324(13):1317-1329. doi:10.1001/jama.2020.17022 PMID: 32876697</w:t>
      </w:r>
    </w:p>
    <w:p>
      <w:pPr>
        <w:ind w:hanging="360" w:left="360"/>
      </w:pPr>
      <w:r>
        <w:rPr>
          <w:b/>
        </w:rPr>
        <w:t xml:space="preserve">31. </w:t>
      </w:r>
      <w:r>
        <w:t>Swanson KV, Deng M, Ting JP. The NLRP3 inflammasome: molecular activation and regulation to therapeutics. Nat Rev Immunol 2019;19(8):477-489. doi:10.1038/s41577-019-0165-0 PMID: 31036962</w:t>
      </w:r>
    </w:p>
    <w:p>
      <w:pPr>
        <w:ind w:hanging="360" w:left="360"/>
      </w:pPr>
      <w:r>
        <w:rPr>
          <w:b/>
        </w:rPr>
        <w:t xml:space="preserve">32. </w:t>
      </w:r>
      <w:r>
        <w:t>Hotchkiss RS, Colston E, Yende S, et al. Immune Checkpoint Inhibition in Sepsis: A Phase 1b Randomized Study to Evaluate the Safety, Tolerability, Pharmacokinetics, and Pharmacodynamics of Nivolumab. Intensive Care Med 2019;45(10):1360-1371. doi:10.1007/s00134-019-05704-z PMID: 31446430</w:t>
      </w:r>
    </w:p>
    <w:p>
      <w:pPr>
        <w:ind w:hanging="360" w:left="360"/>
      </w:pPr>
      <w:r>
        <w:rPr>
          <w:b/>
        </w:rPr>
        <w:t xml:space="preserve">33. </w:t>
      </w:r>
      <w:r>
        <w:t>van der Poll T, Opal SM. Host-pathogen interactions in sepsis. Lancet Infect Dis 2008;8(1):32-43. doi:10.1016/S1473-3099(07)70265-7 PMID: 18063412</w:t>
      </w:r>
    </w:p>
    <w:p>
      <w:pPr>
        <w:ind w:hanging="360" w:left="360"/>
      </w:pPr>
      <w:r>
        <w:rPr>
          <w:b/>
        </w:rPr>
        <w:t xml:space="preserve">34. </w:t>
      </w:r>
      <w:r>
        <w:t>Patera AC, Drewry AM, Chang K, Beiter ER, Osborne D, Hotchkiss RS. Frontline Science: Defects in immune function in patients with sepsis are associated with PD-1 or PD-L1 expression and can be restored by antibodies targeting PD-1 or PD-L1. J Leukoc Biol 2016;100(6):1239-1254. doi:10.1189/jlb.4HI0616-255R PMID: 27671246</w:t>
      </w:r>
    </w:p>
    <w:p>
      <w:pPr>
        <w:ind w:hanging="360" w:left="360"/>
      </w:pPr>
      <w:r>
        <w:rPr>
          <w:b/>
        </w:rPr>
        <w:t xml:space="preserve">35. </w:t>
      </w:r>
      <w:r>
        <w:t>Prescott HC, Angus DC. Enhancing Recovery From Sepsis: A Review. JAMA 2018;319(1):62-75. doi:10.1001/jama.2017.17687 PMID: 29297082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