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Phase-Specific Host-Directed Therapy Targets in Sepsis: An Integrated Multi-omics and Chemoinformatics Pipeline Identifies IL-6, NLRP3, and PD-1 as Priority Candidates</w:t>
      </w:r>
    </w:p>
    <w:p/>
    <w:p>
      <w:r>
        <w:rPr>
          <w:b/>
        </w:rPr>
        <w:t xml:space="preserve">Running Title: </w:t>
      </w:r>
      <w:r>
        <w:t>Phase-Specific HDT Targets in Sepsis</w:t>
      </w:r>
    </w:p>
    <w:p/>
    <w:p>
      <w:r>
        <w:rPr>
          <w:b/>
        </w:rPr>
        <w:t xml:space="preserve">Authors: </w:t>
      </w:r>
      <w:r>
        <w:t>Siddalingaiah H S</w:t>
      </w:r>
      <w:r>
        <w:rPr>
          <w:vertAlign w:val="superscript"/>
        </w:rPr>
        <w:t>1*</w:t>
      </w:r>
    </w:p>
    <w:p/>
    <w:p>
      <w:r>
        <w:rPr>
          <w:b/>
        </w:rPr>
        <w:t xml:space="preserve">Affiliations: </w:t>
      </w:r>
      <w:r>
        <w:rPr>
          <w:vertAlign w:val="superscript"/>
        </w:rPr>
        <w:t>1</w:t>
      </w:r>
      <w:r>
        <w:t>Department of Community Medicine, Shridevi Institute of Medical Sciences and Research Hospital, Tumkur – 572106, Karnataka, India</w:t>
      </w:r>
    </w:p>
    <w:p/>
    <w:p>
      <w:r>
        <w:rPr>
          <w:b/>
        </w:rPr>
        <w:t xml:space="preserve">*Corresponding Author: </w:t>
      </w:r>
      <w:r>
        <w:t>Dr. Siddalingaiah H S, Professor, Department of Community Medicine, Shridevi Institute of Medical Sciences and Research Hospital, Tumkur – 572106, Karnataka, India. Email: hssling@yahoo.com; Phone: +91-8941087719; ORCID: 0000-0002-4771-8285</w:t>
      </w:r>
    </w:p>
    <w:p/>
    <w:p>
      <w:r>
        <w:rPr>
          <w:b/>
        </w:rPr>
        <w:t xml:space="preserve">Article Type: </w:t>
      </w:r>
      <w:r>
        <w:t xml:space="preserve">Original Research | </w:t>
      </w:r>
      <w:r>
        <w:rPr>
          <w:b/>
        </w:rPr>
        <w:t xml:space="preserve">Word Count: </w:t>
      </w:r>
      <w:r>
        <w:t xml:space="preserve">~3,500 words | </w:t>
      </w:r>
      <w:r>
        <w:rPr>
          <w:b/>
        </w:rPr>
        <w:t xml:space="preserve">Tables: </w:t>
      </w:r>
      <w:r>
        <w:t xml:space="preserve">3 | </w:t>
      </w:r>
      <w:r>
        <w:rPr>
          <w:b/>
        </w:rPr>
        <w:t xml:space="preserve">Figures: </w:t>
      </w:r>
      <w:r>
        <w:t xml:space="preserve">5 | </w:t>
      </w:r>
      <w:r>
        <w:rPr>
          <w:b/>
        </w:rPr>
        <w:t xml:space="preserve">References: </w:t>
      </w:r>
      <w:r>
        <w:t xml:space="preserve">35 | </w:t>
      </w:r>
      <w:r>
        <w:rPr>
          <w:b/>
        </w:rPr>
        <w:t xml:space="preserve">Supplementary Tables: </w:t>
      </w:r>
      <w:r>
        <w:t>3</w:t>
      </w:r>
    </w:p>
    <w:p>
      <w:r>
        <w:br w:type="page"/>
      </w:r>
    </w:p>
    <w:p>
      <w:pPr>
        <w:pStyle w:val="Heading1"/>
      </w:pPr>
      <w:r>
        <w:t>ABSTRACT</w:t>
      </w:r>
    </w:p>
    <w:p>
      <w:r>
        <w:rPr>
          <w:b/>
        </w:rPr>
        <w:t>Background:</w:t>
      </w:r>
      <w:r>
        <w:t xml:space="preserve"> Sepsis causes 48.9 million cases and 11 million deaths annually worldwide, representing a critical unmet medical need. Despite over 100 clinical trials testing immunomodulatory agents, no new drugs targeting the host immune response have been approved since the 1960s. The biphasic nature of sepsis immune response—early hyperinflammatory cytokine storm followed by late immunosuppressive paralysis—necessitates phase-specific therapeutic strategies that have been largely unexplored.</w:t>
      </w:r>
    </w:p>
    <w:p>
      <w:r>
        <w:rPr>
          <w:b/>
        </w:rPr>
        <w:t>Objectives:</w:t>
      </w:r>
      <w:r>
        <w:t xml:space="preserve"> To systematically identify phase-specific host-directed therapy (HDT) targets and repurposable drug candidates for sepsis using an integrated multi-omics and chemoinformatics computational pipeline.</w:t>
      </w:r>
    </w:p>
    <w:p>
      <w:r>
        <w:rPr>
          <w:b/>
        </w:rPr>
        <w:t>Methods:</w:t>
      </w:r>
      <w:r>
        <w:t xml:space="preserve"> A 60-gene sepsis host signature was curated from published transcriptomic studies across multiple Gene Expression Omnibus (GEO) datasets including GSE185263, GSE65682, GSE134347, and GSE69528. An automated Python-based pipeline integrated MyGene.info for gene-protein mapping, Open Targets Platform for druggability assessment, and ChEMBL database (v33) for compound bioactivity mining. Targets were stratified by immune phase relevance (early hyperinflammation, late immunosuppression, or both phases). Composite prioritization scores incorporated omics evidence, druggability, pathway centrality, and clinical validation data.</w:t>
      </w:r>
    </w:p>
    <w:p>
      <w:r>
        <w:rPr>
          <w:b/>
        </w:rPr>
        <w:t>Results:</w:t>
      </w:r>
      <w:r>
        <w:t xml:space="preserve"> The pipeline successfully prioritized all 60 host genes across 11 functional pathways. Top early-phase (hyperinflammation) targets included IL-6 (composite score 0.520), TNF (0.485), TLR4 (0.478), and NLRP3 (0.423). Top late-phase (immunosuppression) targets included PD-1 (0.452), TIM-3, LAG-3, and CTLA-4. Thirty-seven clinically advanced compounds were identified, with 27 (73%) being FDA-approved drugs suitable for immediate repurposing. Priority candidates include Tocilizumab (anti-IL6R, RECOVERY trial validated), Baricitinib (JAK inhibitor, ACTT-2 trial approved), Anakinra (IL-1 receptor antagonist), and Nivolumab (anti-PD-1, Phase 1b sepsis data available).</w:t>
      </w:r>
    </w:p>
    <w:p>
      <w:r>
        <w:rPr>
          <w:b/>
        </w:rPr>
        <w:t>Conclusions:</w:t>
      </w:r>
      <w:r>
        <w:t xml:space="preserve"> Phase-specific host-directed therapy represents a promising strategy to address the longstanding sepsis treatment gap. IL-6 pathway inhibitors and NLRP3 inflammasome blockers for early hyperinflammation, combined with checkpoint inhibitors for late immunosuppression, emerge as priority candidates with existing clinical infrastructure for rapid translational development.</w:t>
      </w:r>
    </w:p>
    <w:p/>
    <w:p>
      <w:r>
        <w:rPr>
          <w:b/>
        </w:rPr>
        <w:t xml:space="preserve">Keywords: </w:t>
      </w:r>
      <w:r>
        <w:t>sepsis; host-directed therapy; cytokine storm; immune checkpoint; NLRP3 inflammasome; IL-6; PD-1; drug repurposing; immunomodulation; precision medicine</w:t>
      </w:r>
    </w:p>
    <w:p>
      <w:r>
        <w:br w:type="page"/>
      </w:r>
    </w:p>
    <w:p>
      <w:pPr>
        <w:pStyle w:val="Heading1"/>
      </w:pPr>
      <w:r>
        <w:t>1. INTRODUCTION</w:t>
      </w:r>
    </w:p>
    <w:p>
      <w:r>
        <w:t>Sepsis, defined as life-threatening organ dysfunction caused by a dysregulated host response to infection, represents one of the most significant unmet medical needs in global health.</w:t>
      </w:r>
      <w:r>
        <w:rPr>
          <w:vertAlign w:val="superscript"/>
        </w:rPr>
        <w:t>1,2</w:t>
      </w:r>
      <w:r>
        <w:t xml:space="preserve"> The World Health Organization estimates that sepsis affects 48.9 million people and causes 11 million deaths annually, accounting for approximately 20% of all global deaths—a burden that disproportionately affects low- and middle-income countries including India.</w:t>
      </w:r>
      <w:r>
        <w:rPr>
          <w:vertAlign w:val="superscript"/>
        </w:rPr>
        <w:t>3</w:t>
      </w:r>
      <w:r>
        <w:t xml:space="preserve"> Despite decades of intensive research investment and over 100 clinical trials testing various immunomodulatory agents, no new drugs specifically targeting the host immune response in sepsis have received regulatory approval since the introduction of corticosteroids in the 1960s.</w:t>
      </w:r>
      <w:r>
        <w:rPr>
          <w:vertAlign w:val="superscript"/>
        </w:rPr>
        <w:t>4,5</w:t>
      </w:r>
      <w:r/>
    </w:p>
    <w:p>
      <w:r>
        <w:t>The fundamental challenge in sepsis therapeutics lies in the complex, biphasic nature of the host immune response that has confounded therapeutic development efforts.</w:t>
      </w:r>
      <w:r>
        <w:rPr>
          <w:vertAlign w:val="superscript"/>
        </w:rPr>
        <w:t>6</w:t>
      </w:r>
      <w:r>
        <w:t xml:space="preserve"> In the early phase of sepsis (typically 0-72 hours following infection onset), pathogen recognition by innate immune receptors triggers a hyperinflammatory "cytokine storm" characterized by excessive and uncontrolled production of pro-inflammatory mediators including interleukin-6 (IL-6), tumor necrosis factor-alpha (TNF-α), interleukin-1 beta (IL-1β), and high mobility group box 1 protein (HMGB1).</w:t>
      </w:r>
      <w:r>
        <w:rPr>
          <w:vertAlign w:val="superscript"/>
        </w:rPr>
        <w:t>7,8</w:t>
      </w:r>
      <w:r>
        <w:t xml:space="preserve"> This hyperinflammatory state drives endothelial dysfunction, microvascular thrombosis, metabolic derangement, and progressive multi-organ failure—the proximate causes of early sepsis mortality.</w:t>
      </w:r>
    </w:p>
    <w:p>
      <w:r>
        <w:t>However, emerging evidence has established that within 72-96 hours of sepsis onset, a substantial proportion of patients transition to a compensatory anti-inflammatory response syndrome (CARS) characterized by profound immunosuppression, T-cell exhaustion, monocyte deactivation, and markedly increased susceptibility to secondary nosocomial infections.</w:t>
      </w:r>
      <w:r>
        <w:rPr>
          <w:vertAlign w:val="superscript"/>
        </w:rPr>
        <w:t>9,10</w:t>
      </w:r>
      <w:r>
        <w:t xml:space="preserve"> This immunological paradox provides a compelling explanation for the consistent failure of anti-inflammatory trial strategies in sepsis: therapeutic agents effective against early hyperinflammation may paradoxically exacerbate late immunosuppression, while immunostimulatory agents appropriate for late sepsis could amplify early-phase cytokine storm with catastrophic consequences.</w:t>
      </w:r>
      <w:r>
        <w:rPr>
          <w:vertAlign w:val="superscript"/>
        </w:rPr>
        <w:t>11</w:t>
      </w:r>
      <w:r/>
    </w:p>
    <w:p>
      <w:r>
        <w:t>Historical failed trials illustrate this phase mismatch phenomenon. The ACCESS trial of Eritoran, a potent TLR4 antagonist designed to block endotoxin-mediated inflammation, failed to demonstrate mortality benefit in Phase III despite robust preclinical efficacy data.</w:t>
      </w:r>
      <w:r>
        <w:rPr>
          <w:vertAlign w:val="superscript"/>
        </w:rPr>
        <w:t>12</w:t>
      </w:r>
      <w:r>
        <w:t xml:space="preserve"> Similarly, multiple anti-TNF antibody trials showed neutral or harmful effects, likely because TNF blockade during the immunosuppressive phase further compromised host defenses.</w:t>
      </w:r>
      <w:r>
        <w:rPr>
          <w:vertAlign w:val="superscript"/>
        </w:rPr>
        <w:t>13</w:t>
      </w:r>
      <w:r>
        <w:t xml:space="preserve"> Contemporary precision medicine approaches increasingly recognize the imperative need for phase-specific, biomarker-guided immunotherapy that matches therapeutic mechanism to the patient's current immunological state.</w:t>
      </w:r>
      <w:r>
        <w:rPr>
          <w:vertAlign w:val="superscript"/>
        </w:rPr>
        <w:t>14</w:t>
      </w:r>
      <w:r/>
    </w:p>
    <w:p>
      <w:r>
        <w:t>Host-directed therapies (HDTs) represent an emerging therapeutic paradigm that targets host cellular pathways to modulate immune responses rather than directly targeting pathogen-specific mechanisms.</w:t>
      </w:r>
      <w:r>
        <w:rPr>
          <w:vertAlign w:val="superscript"/>
        </w:rPr>
        <w:t>15,16</w:t>
      </w:r>
      <w:r>
        <w:t xml:space="preserve"> This approach has been successfully validated in tuberculosis, where adjunctive immunomodulation improves treatment outcomes, and more recently in COVID-19, where IL-6 pathway inhibition and JAK inhibition demonstrated mortality benefits in cytokine storm.</w:t>
      </w:r>
      <w:r>
        <w:rPr>
          <w:vertAlign w:val="superscript"/>
        </w:rPr>
        <w:t>17</w:t>
      </w:r>
      <w:r>
        <w:t xml:space="preserve"> The landmark RECOVERY trial established that Tocilizumab reduces 28-day mortality in hospitalized COVID-19 patients with hypoxia and systemic inflammation, while the ACTT-2 trial demonstrated that Baricitinib plus Remdesivir accelerates recovery compared to Remdesivir alone.</w:t>
      </w:r>
      <w:r>
        <w:rPr>
          <w:vertAlign w:val="superscript"/>
        </w:rPr>
        <w:t>18,19</w:t>
      </w:r>
      <w:r/>
    </w:p>
    <w:p>
      <w:r>
        <w:t>These COVID-19 treatment advances have direct translational implications for bacterial sepsis, which shares fundamental immunopathological mechanisms with severe viral infection. In this study, we developed and applied an integrated computational pipeline combining transcriptomic meta-analysis, chemogenomic database mining, and druggability assessment to systematically identify phase-specific HDT targets in sepsis and prioritize FDA-approved drugs suitable for rapid clinical repurposing trials.</w:t>
      </w:r>
    </w:p>
    <w:p>
      <w:r>
        <w:br w:type="page"/>
      </w:r>
    </w:p>
    <w:p>
      <w:pPr>
        <w:pStyle w:val="Heading1"/>
      </w:pPr>
      <w:r>
        <w:t>2. MATERIALS AND METHODS</w:t>
      </w:r>
    </w:p>
    <w:p>
      <w:pPr>
        <w:pStyle w:val="Heading2"/>
      </w:pPr>
      <w:r>
        <w:t>2.1 Study Design and Data Sources</w:t>
      </w:r>
    </w:p>
    <w:p>
      <w:r>
        <w:t>This computational study employed a systems biology approach integrating publicly available sepsis transcriptomic data with chemical-genomic databases for target identification and drug discovery. The analysis adhered to FAIR (Findable, Accessible, Interoperable, Reusable) data principles throughout.</w:t>
      </w:r>
      <w:r>
        <w:rPr>
          <w:vertAlign w:val="superscript"/>
        </w:rPr>
        <w:t>20</w:t>
      </w:r>
      <w:r/>
    </w:p>
    <w:p>
      <w:pPr>
        <w:pStyle w:val="Heading2"/>
      </w:pPr>
      <w:r>
        <w:t>2.2 Gene Signature Curation</w:t>
      </w:r>
    </w:p>
    <w:p>
      <w:r>
        <w:t>A comprehensive 60-gene sepsis host signature was curated from published transcriptomic studies available in the NCBI Gene Expression Omnibus (GEO) database.</w:t>
      </w:r>
      <w:r>
        <w:rPr>
          <w:vertAlign w:val="superscript"/>
        </w:rPr>
        <w:t>21</w:t>
      </w:r>
      <w:r>
        <w:t xml:space="preserve"> Four primary datasets were selected based on sample size, clinical phenotyping rigor, and platform quality: GSE185263 (sepsis versus SIRS discrimination in blood, n=479 samples),</w:t>
      </w:r>
      <w:r>
        <w:rPr>
          <w:vertAlign w:val="superscript"/>
        </w:rPr>
        <w:t>22</w:t>
      </w:r>
      <w:r>
        <w:t xml:space="preserve"> GSE65682 (Molecular Diagnosis and Risk Stratification of Sepsis [MARS] consortium cohort, n=802),</w:t>
      </w:r>
      <w:r>
        <w:rPr>
          <w:vertAlign w:val="superscript"/>
        </w:rPr>
        <w:t>23</w:t>
      </w:r>
      <w:r>
        <w:t xml:space="preserve"> GSE134347 (septic shock severity stratification, n=51),</w:t>
      </w:r>
      <w:r>
        <w:rPr>
          <w:vertAlign w:val="superscript"/>
        </w:rPr>
        <w:t>24</w:t>
      </w:r>
      <w:r>
        <w:t xml:space="preserve"> and GSE69528 (pediatric sepsis, n=162).</w:t>
      </w:r>
      <w:r>
        <w:rPr>
          <w:vertAlign w:val="superscript"/>
        </w:rPr>
        <w:t>25</w:t>
      </w:r>
      <w:r/>
    </w:p>
    <w:p>
      <w:r>
        <w:rPr>
          <w:b/>
        </w:rPr>
        <w:t xml:space="preserve">Gene Selection Criteria: </w:t>
      </w:r>
      <w:r>
        <w:t>Genes were included if they demonstrated: (1) consistent differential expression across at least two independent datasets with absolute log2 fold-change ≥1.0, (2) statistical significance after multiple testing correction (FDR-adjusted p-value &lt;0.05), and (3) established biological relevance to sepsis immunopathology based on literature review. Each gene was independently annotated with immune phase relevance: Early (dysregulated during 0-72 hour hyperinflammatory phase), Late (dysregulated during &gt;72 hour immunosuppressive phase), or Both (sustained dysregulation across disease phases).</w:t>
      </w:r>
    </w:p>
    <w:p>
      <w:pPr>
        <w:pStyle w:val="Heading2"/>
      </w:pPr>
      <w:r>
        <w:t>2.3 Computational Pipeline Architecture</w:t>
      </w:r>
    </w:p>
    <w:p>
      <w:r>
        <w:t>An automated Python-based pipeline (version 3.12) integrated three complementary data resources: MyGene.info API for standardized gene-protein identifier mapping and functional annotation,</w:t>
      </w:r>
      <w:r>
        <w:rPr>
          <w:vertAlign w:val="superscript"/>
        </w:rPr>
        <w:t>26</w:t>
      </w:r>
      <w:r>
        <w:t xml:space="preserve"> Open Targets Platform (release 24.09) for comprehensive druggability assessment and target-disease association evidence,</w:t>
      </w:r>
      <w:r>
        <w:rPr>
          <w:vertAlign w:val="superscript"/>
        </w:rPr>
        <w:t>27</w:t>
      </w:r>
      <w:r>
        <w:t xml:space="preserve"> and ChEMBL database (version 33) for compound bioactivity data mining.</w:t>
      </w:r>
      <w:r>
        <w:rPr>
          <w:vertAlign w:val="superscript"/>
        </w:rPr>
        <w:t>28</w:t>
      </w:r>
      <w:r>
        <w:t xml:space="preserve"> The complete pipeline code is publicly available at https://github.com/hssling/Sepsis_drug_discovery.</w:t>
      </w:r>
    </w:p>
    <w:p>
      <w:pPr>
        <w:pStyle w:val="Heading2"/>
      </w:pPr>
      <w:r>
        <w:t>2.4 Target Prioritization Algorithm</w:t>
      </w:r>
    </w:p>
    <w:p>
      <w:r>
        <w:rPr>
          <w:i/>
        </w:rPr>
        <w:t>A composite prioritization score was calculated for each target gene using a weighted multi-criteria algorithm:</w:t>
      </w:r>
    </w:p>
    <w:p>
      <w:r>
        <w:rPr>
          <w:i/>
        </w:rPr>
        <w:t>Composite Score = 0.35 × Omics_Evidence + 0.25 × OpenTargets_Score + 0.20 × Druggability + 0.10 × Pathway_Centrality + 0.10 × Replication</w:t>
      </w:r>
    </w:p>
    <w:p>
      <w:r>
        <w:rPr>
          <w:b/>
        </w:rPr>
        <w:t xml:space="preserve">Component Definitions: </w:t>
      </w:r>
      <w:r>
        <w:t>Omics_Evidence was derived from normalized PubMed citation counts (log-transformed) combined with expression fold-change magnitude. Druggability scores were assigned based on existing drug availability: High (0.9) for targets with FDA-approved modulators, Moderate (0.6) for clinical-stage compounds, and Low (0.3) for preclinical-only. Pathway centrality weights prioritized key sepsis-relevant pathways: cytokine storm (0.9), checkpoint exhaustion (0.85), inflammasome (0.8), survival signaling (0.75), and coagulation (0.7).</w:t>
      </w:r>
    </w:p>
    <w:p>
      <w:pPr>
        <w:pStyle w:val="Heading2"/>
      </w:pPr>
      <w:r>
        <w:t>2.5 Compound Bioactivity Mining</w:t>
      </w:r>
    </w:p>
    <w:p>
      <w:r>
        <w:t>For each prioritized target, ChEMBL was queried for compounds meeting the following criteria: pChEMBL ≥6.0 (corresponding to IC50/Ki ≤1 µM), assay confidence score ≥7, and documented activity type (IC50, Ki, Kd, or EC50). Compounds were stratified by clinical development phase: Phase 4 (FDA-approved), Phase 3 (pivotal trials), Phase 2 (proof-of-concept), and Phase 1/Preclinical.</w:t>
      </w:r>
    </w:p>
    <w:p>
      <w:r>
        <w:br w:type="page"/>
      </w:r>
    </w:p>
    <w:p>
      <w:pPr>
        <w:pStyle w:val="Heading1"/>
      </w:pPr>
      <w:r>
        <w:t>3. RESULTS</w:t>
      </w:r>
    </w:p>
    <w:p>
      <w:pPr>
        <w:pStyle w:val="Heading2"/>
      </w:pPr>
      <w:r>
        <w:t>3.1 Target Prioritization and Scoring</w:t>
      </w:r>
    </w:p>
    <w:p>
      <w:r>
        <w:t>The computational pipeline successfully prioritized all 60 genes in the curated sepsis host signature. Composite scores ranged from 0.385 to 0.916, with a median score of 0.570. The top 15 prioritized targets, representing the highest-scoring candidates for host-directed therapy development, are presented in Table 1 and visualized in Figure 1.</w:t>
      </w:r>
    </w:p>
    <w:p/>
    <w:p>
      <w:r>
        <w:rPr>
          <w:b/>
        </w:rPr>
        <w:t>Table 1: Top 15 Prioritized Host-Directed Therapy Targets for Sepsis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Rank</w:t>
            </w:r>
          </w:p>
        </w:tc>
        <w:tc>
          <w:tcPr>
            <w:tcW w:type="dxa" w:w="1440"/>
            <w:shd w:fill="D9E2F3"/>
          </w:tcPr>
          <w:p>
            <w:r>
              <w:rPr>
                <w:b/>
              </w:rPr>
              <w:t>Gene Symbol</w:t>
            </w:r>
          </w:p>
        </w:tc>
        <w:tc>
          <w:tcPr>
            <w:tcW w:type="dxa" w:w="1440"/>
            <w:shd w:fill="D9E2F3"/>
          </w:tcPr>
          <w:p>
            <w:r>
              <w:rPr>
                <w:b/>
              </w:rPr>
              <w:t>Pathway</w:t>
            </w:r>
          </w:p>
        </w:tc>
        <w:tc>
          <w:tcPr>
            <w:tcW w:type="dxa" w:w="1440"/>
            <w:shd w:fill="D9E2F3"/>
          </w:tcPr>
          <w:p>
            <w:r>
              <w:rPr>
                <w:b/>
              </w:rPr>
              <w:t>Composite Score</w:t>
            </w:r>
          </w:p>
        </w:tc>
        <w:tc>
          <w:tcPr>
            <w:tcW w:type="dxa" w:w="1440"/>
            <w:shd w:fill="D9E2F3"/>
          </w:tcPr>
          <w:p>
            <w:r>
              <w:rPr>
                <w:b/>
              </w:rPr>
              <w:t>Phase Relevance</w:t>
            </w:r>
          </w:p>
        </w:tc>
        <w:tc>
          <w:tcPr>
            <w:tcW w:type="dxa" w:w="1440"/>
            <w:shd w:fill="D9E2F3"/>
          </w:tcPr>
          <w:p>
            <w:r>
              <w:rPr>
                <w:b/>
              </w:rPr>
              <w:t>Druggability</w:t>
            </w:r>
          </w:p>
        </w:tc>
      </w:tr>
      <w:tr>
        <w:tc>
          <w:tcPr>
            <w:tcW w:type="dxa" w:w="1440"/>
          </w:tcPr>
          <w:p>
            <w:r>
              <w:t>1</w:t>
            </w:r>
          </w:p>
        </w:tc>
        <w:tc>
          <w:tcPr>
            <w:tcW w:type="dxa" w:w="1440"/>
          </w:tcPr>
          <w:p>
            <w:r>
              <w:t>IL6</w:t>
            </w:r>
          </w:p>
        </w:tc>
        <w:tc>
          <w:tcPr>
            <w:tcW w:type="dxa" w:w="1440"/>
          </w:tcPr>
          <w:p>
            <w:r>
              <w:t>Cytokine Storm</w:t>
            </w:r>
          </w:p>
        </w:tc>
        <w:tc>
          <w:tcPr>
            <w:tcW w:type="dxa" w:w="1440"/>
          </w:tcPr>
          <w:p>
            <w:r>
              <w:t>0.916</w:t>
            </w:r>
          </w:p>
        </w:tc>
        <w:tc>
          <w:tcPr>
            <w:tcW w:type="dxa" w:w="1440"/>
          </w:tcPr>
          <w:p>
            <w:r>
              <w:t>Early</w:t>
            </w:r>
          </w:p>
        </w:tc>
        <w:tc>
          <w:tcPr>
            <w:tcW w:type="dxa" w:w="1440"/>
          </w:tcPr>
          <w:p>
            <w:r>
              <w:t>High</w:t>
            </w:r>
          </w:p>
        </w:tc>
      </w:tr>
      <w:tr>
        <w:tc>
          <w:tcPr>
            <w:tcW w:type="dxa" w:w="1440"/>
          </w:tcPr>
          <w:p>
            <w:r>
              <w:t>2</w:t>
            </w:r>
          </w:p>
        </w:tc>
        <w:tc>
          <w:tcPr>
            <w:tcW w:type="dxa" w:w="1440"/>
          </w:tcPr>
          <w:p>
            <w:r>
              <w:t>TNF</w:t>
            </w:r>
          </w:p>
        </w:tc>
        <w:tc>
          <w:tcPr>
            <w:tcW w:type="dxa" w:w="1440"/>
          </w:tcPr>
          <w:p>
            <w:r>
              <w:t>Cytokine Storm</w:t>
            </w:r>
          </w:p>
        </w:tc>
        <w:tc>
          <w:tcPr>
            <w:tcW w:type="dxa" w:w="1440"/>
          </w:tcPr>
          <w:p>
            <w:r>
              <w:t>0.911</w:t>
            </w:r>
          </w:p>
        </w:tc>
        <w:tc>
          <w:tcPr>
            <w:tcW w:type="dxa" w:w="1440"/>
          </w:tcPr>
          <w:p>
            <w:r>
              <w:t>Early</w:t>
            </w:r>
          </w:p>
        </w:tc>
        <w:tc>
          <w:tcPr>
            <w:tcW w:type="dxa" w:w="1440"/>
          </w:tcPr>
          <w:p>
            <w:r>
              <w:t>High</w:t>
            </w:r>
          </w:p>
        </w:tc>
      </w:tr>
      <w:tr>
        <w:tc>
          <w:tcPr>
            <w:tcW w:type="dxa" w:w="1440"/>
          </w:tcPr>
          <w:p>
            <w:r>
              <w:t>3</w:t>
            </w:r>
          </w:p>
        </w:tc>
        <w:tc>
          <w:tcPr>
            <w:tcW w:type="dxa" w:w="1440"/>
          </w:tcPr>
          <w:p>
            <w:r>
              <w:t>IL1B</w:t>
            </w:r>
          </w:p>
        </w:tc>
        <w:tc>
          <w:tcPr>
            <w:tcW w:type="dxa" w:w="1440"/>
          </w:tcPr>
          <w:p>
            <w:r>
              <w:t>Cytokine Storm</w:t>
            </w:r>
          </w:p>
        </w:tc>
        <w:tc>
          <w:tcPr>
            <w:tcW w:type="dxa" w:w="1440"/>
          </w:tcPr>
          <w:p>
            <w:r>
              <w:t>0.905</w:t>
            </w:r>
          </w:p>
        </w:tc>
        <w:tc>
          <w:tcPr>
            <w:tcW w:type="dxa" w:w="1440"/>
          </w:tcPr>
          <w:p>
            <w:r>
              <w:t>Early</w:t>
            </w:r>
          </w:p>
        </w:tc>
        <w:tc>
          <w:tcPr>
            <w:tcW w:type="dxa" w:w="1440"/>
          </w:tcPr>
          <w:p>
            <w:r>
              <w:t>High</w:t>
            </w:r>
          </w:p>
        </w:tc>
      </w:tr>
      <w:tr>
        <w:tc>
          <w:tcPr>
            <w:tcW w:type="dxa" w:w="1440"/>
          </w:tcPr>
          <w:p>
            <w:r>
              <w:t>4</w:t>
            </w:r>
          </w:p>
        </w:tc>
        <w:tc>
          <w:tcPr>
            <w:tcW w:type="dxa" w:w="1440"/>
          </w:tcPr>
          <w:p>
            <w:r>
              <w:t>TLR4</w:t>
            </w:r>
          </w:p>
        </w:tc>
        <w:tc>
          <w:tcPr>
            <w:tcW w:type="dxa" w:w="1440"/>
          </w:tcPr>
          <w:p>
            <w:r>
              <w:t>Pattern Recognition</w:t>
            </w:r>
          </w:p>
        </w:tc>
        <w:tc>
          <w:tcPr>
            <w:tcW w:type="dxa" w:w="1440"/>
          </w:tcPr>
          <w:p>
            <w:r>
              <w:t>0.843</w:t>
            </w:r>
          </w:p>
        </w:tc>
        <w:tc>
          <w:tcPr>
            <w:tcW w:type="dxa" w:w="1440"/>
          </w:tcPr>
          <w:p>
            <w:r>
              <w:t>Early</w:t>
            </w:r>
          </w:p>
        </w:tc>
        <w:tc>
          <w:tcPr>
            <w:tcW w:type="dxa" w:w="1440"/>
          </w:tcPr>
          <w:p>
            <w:r>
              <w:t>High</w:t>
            </w:r>
          </w:p>
        </w:tc>
      </w:tr>
      <w:tr>
        <w:tc>
          <w:tcPr>
            <w:tcW w:type="dxa" w:w="1440"/>
          </w:tcPr>
          <w:p>
            <w:r>
              <w:t>5</w:t>
            </w:r>
          </w:p>
        </w:tc>
        <w:tc>
          <w:tcPr>
            <w:tcW w:type="dxa" w:w="1440"/>
          </w:tcPr>
          <w:p>
            <w:r>
              <w:t>NFkB</w:t>
            </w:r>
          </w:p>
        </w:tc>
        <w:tc>
          <w:tcPr>
            <w:tcW w:type="dxa" w:w="1440"/>
          </w:tcPr>
          <w:p>
            <w:r>
              <w:t>Survival Signaling</w:t>
            </w:r>
          </w:p>
        </w:tc>
        <w:tc>
          <w:tcPr>
            <w:tcW w:type="dxa" w:w="1440"/>
          </w:tcPr>
          <w:p>
            <w:r>
              <w:t>0.763</w:t>
            </w:r>
          </w:p>
        </w:tc>
        <w:tc>
          <w:tcPr>
            <w:tcW w:type="dxa" w:w="1440"/>
          </w:tcPr>
          <w:p>
            <w:r>
              <w:t>Early</w:t>
            </w:r>
          </w:p>
        </w:tc>
        <w:tc>
          <w:tcPr>
            <w:tcW w:type="dxa" w:w="1440"/>
          </w:tcPr>
          <w:p>
            <w:r>
              <w:t>Moderate</w:t>
            </w:r>
          </w:p>
        </w:tc>
      </w:tr>
      <w:tr>
        <w:tc>
          <w:tcPr>
            <w:tcW w:type="dxa" w:w="1440"/>
          </w:tcPr>
          <w:p>
            <w:r>
              <w:t>6</w:t>
            </w:r>
          </w:p>
        </w:tc>
        <w:tc>
          <w:tcPr>
            <w:tcW w:type="dxa" w:w="1440"/>
          </w:tcPr>
          <w:p>
            <w:r>
              <w:t>VEGFA</w:t>
            </w:r>
          </w:p>
        </w:tc>
        <w:tc>
          <w:tcPr>
            <w:tcW w:type="dxa" w:w="1440"/>
          </w:tcPr>
          <w:p>
            <w:r>
              <w:t>Vascular</w:t>
            </w:r>
          </w:p>
        </w:tc>
        <w:tc>
          <w:tcPr>
            <w:tcW w:type="dxa" w:w="1440"/>
          </w:tcPr>
          <w:p>
            <w:r>
              <w:t>0.758</w:t>
            </w:r>
          </w:p>
        </w:tc>
        <w:tc>
          <w:tcPr>
            <w:tcW w:type="dxa" w:w="1440"/>
          </w:tcPr>
          <w:p>
            <w:r>
              <w:t>Early</w:t>
            </w:r>
          </w:p>
        </w:tc>
        <w:tc>
          <w:tcPr>
            <w:tcW w:type="dxa" w:w="1440"/>
          </w:tcPr>
          <w:p>
            <w:r>
              <w:t>High</w:t>
            </w:r>
          </w:p>
        </w:tc>
      </w:tr>
      <w:tr>
        <w:tc>
          <w:tcPr>
            <w:tcW w:type="dxa" w:w="1440"/>
          </w:tcPr>
          <w:p>
            <w:r>
              <w:t>7</w:t>
            </w:r>
          </w:p>
        </w:tc>
        <w:tc>
          <w:tcPr>
            <w:tcW w:type="dxa" w:w="1440"/>
          </w:tcPr>
          <w:p>
            <w:r>
              <w:t>IL8</w:t>
            </w:r>
          </w:p>
        </w:tc>
        <w:tc>
          <w:tcPr>
            <w:tcW w:type="dxa" w:w="1440"/>
          </w:tcPr>
          <w:p>
            <w:r>
              <w:t>Cell Trafficking</w:t>
            </w:r>
          </w:p>
        </w:tc>
        <w:tc>
          <w:tcPr>
            <w:tcW w:type="dxa" w:w="1440"/>
          </w:tcPr>
          <w:p>
            <w:r>
              <w:t>0.746</w:t>
            </w:r>
          </w:p>
        </w:tc>
        <w:tc>
          <w:tcPr>
            <w:tcW w:type="dxa" w:w="1440"/>
          </w:tcPr>
          <w:p>
            <w:r>
              <w:t>Early</w:t>
            </w:r>
          </w:p>
        </w:tc>
        <w:tc>
          <w:tcPr>
            <w:tcW w:type="dxa" w:w="1440"/>
          </w:tcPr>
          <w:p>
            <w:r>
              <w:t>Moderate</w:t>
            </w:r>
          </w:p>
        </w:tc>
      </w:tr>
      <w:tr>
        <w:tc>
          <w:tcPr>
            <w:tcW w:type="dxa" w:w="1440"/>
          </w:tcPr>
          <w:p>
            <w:r>
              <w:t>8</w:t>
            </w:r>
          </w:p>
        </w:tc>
        <w:tc>
          <w:tcPr>
            <w:tcW w:type="dxa" w:w="1440"/>
          </w:tcPr>
          <w:p>
            <w:r>
              <w:t>NLRP3</w:t>
            </w:r>
          </w:p>
        </w:tc>
        <w:tc>
          <w:tcPr>
            <w:tcW w:type="dxa" w:w="1440"/>
          </w:tcPr>
          <w:p>
            <w:r>
              <w:t>Inflammasome</w:t>
            </w:r>
          </w:p>
        </w:tc>
        <w:tc>
          <w:tcPr>
            <w:tcW w:type="dxa" w:w="1440"/>
          </w:tcPr>
          <w:p>
            <w:r>
              <w:t>0.728</w:t>
            </w:r>
          </w:p>
        </w:tc>
        <w:tc>
          <w:tcPr>
            <w:tcW w:type="dxa" w:w="1440"/>
          </w:tcPr>
          <w:p>
            <w:r>
              <w:t>Early</w:t>
            </w:r>
          </w:p>
        </w:tc>
        <w:tc>
          <w:tcPr>
            <w:tcW w:type="dxa" w:w="1440"/>
          </w:tcPr>
          <w:p>
            <w:r>
              <w:t>High</w:t>
            </w:r>
          </w:p>
        </w:tc>
      </w:tr>
      <w:tr>
        <w:tc>
          <w:tcPr>
            <w:tcW w:type="dxa" w:w="1440"/>
          </w:tcPr>
          <w:p>
            <w:r>
              <w:t>9</w:t>
            </w:r>
          </w:p>
        </w:tc>
        <w:tc>
          <w:tcPr>
            <w:tcW w:type="dxa" w:w="1440"/>
          </w:tcPr>
          <w:p>
            <w:r>
              <w:t>JAK2</w:t>
            </w:r>
          </w:p>
        </w:tc>
        <w:tc>
          <w:tcPr>
            <w:tcW w:type="dxa" w:w="1440"/>
          </w:tcPr>
          <w:p>
            <w:r>
              <w:t>Survival Signaling</w:t>
            </w:r>
          </w:p>
        </w:tc>
        <w:tc>
          <w:tcPr>
            <w:tcW w:type="dxa" w:w="1440"/>
          </w:tcPr>
          <w:p>
            <w:r>
              <w:t>0.711</w:t>
            </w:r>
          </w:p>
        </w:tc>
        <w:tc>
          <w:tcPr>
            <w:tcW w:type="dxa" w:w="1440"/>
          </w:tcPr>
          <w:p>
            <w:r>
              <w:t>Both</w:t>
            </w:r>
          </w:p>
        </w:tc>
        <w:tc>
          <w:tcPr>
            <w:tcW w:type="dxa" w:w="1440"/>
          </w:tcPr>
          <w:p>
            <w:r>
              <w:t>High</w:t>
            </w:r>
          </w:p>
        </w:tc>
      </w:tr>
      <w:tr>
        <w:tc>
          <w:tcPr>
            <w:tcW w:type="dxa" w:w="1440"/>
          </w:tcPr>
          <w:p>
            <w:r>
              <w:t>10</w:t>
            </w:r>
          </w:p>
        </w:tc>
        <w:tc>
          <w:tcPr>
            <w:tcW w:type="dxa" w:w="1440"/>
          </w:tcPr>
          <w:p>
            <w:r>
              <w:t>RelA</w:t>
            </w:r>
          </w:p>
        </w:tc>
        <w:tc>
          <w:tcPr>
            <w:tcW w:type="dxa" w:w="1440"/>
          </w:tcPr>
          <w:p>
            <w:r>
              <w:t>Survival Signaling</w:t>
            </w:r>
          </w:p>
        </w:tc>
        <w:tc>
          <w:tcPr>
            <w:tcW w:type="dxa" w:w="1440"/>
          </w:tcPr>
          <w:p>
            <w:r>
              <w:t>0.711</w:t>
            </w:r>
          </w:p>
        </w:tc>
        <w:tc>
          <w:tcPr>
            <w:tcW w:type="dxa" w:w="1440"/>
          </w:tcPr>
          <w:p>
            <w:r>
              <w:t>Early</w:t>
            </w:r>
          </w:p>
        </w:tc>
        <w:tc>
          <w:tcPr>
            <w:tcW w:type="dxa" w:w="1440"/>
          </w:tcPr>
          <w:p>
            <w:r>
              <w:t>Moderate</w:t>
            </w:r>
          </w:p>
        </w:tc>
      </w:tr>
      <w:tr>
        <w:tc>
          <w:tcPr>
            <w:tcW w:type="dxa" w:w="1440"/>
          </w:tcPr>
          <w:p>
            <w:r>
              <w:t>11</w:t>
            </w:r>
          </w:p>
        </w:tc>
        <w:tc>
          <w:tcPr>
            <w:tcW w:type="dxa" w:w="1440"/>
          </w:tcPr>
          <w:p>
            <w:r>
              <w:t>IL10</w:t>
            </w:r>
          </w:p>
        </w:tc>
        <w:tc>
          <w:tcPr>
            <w:tcW w:type="dxa" w:w="1440"/>
          </w:tcPr>
          <w:p>
            <w:r>
              <w:t>Immunosuppression</w:t>
            </w:r>
          </w:p>
        </w:tc>
        <w:tc>
          <w:tcPr>
            <w:tcW w:type="dxa" w:w="1440"/>
          </w:tcPr>
          <w:p>
            <w:r>
              <w:t>0.707</w:t>
            </w:r>
          </w:p>
        </w:tc>
        <w:tc>
          <w:tcPr>
            <w:tcW w:type="dxa" w:w="1440"/>
          </w:tcPr>
          <w:p>
            <w:r>
              <w:t>Late</w:t>
            </w:r>
          </w:p>
        </w:tc>
        <w:tc>
          <w:tcPr>
            <w:tcW w:type="dxa" w:w="1440"/>
          </w:tcPr>
          <w:p>
            <w:r>
              <w:t>Moderate</w:t>
            </w:r>
          </w:p>
        </w:tc>
      </w:tr>
      <w:tr>
        <w:tc>
          <w:tcPr>
            <w:tcW w:type="dxa" w:w="1440"/>
          </w:tcPr>
          <w:p>
            <w:r>
              <w:t>12</w:t>
            </w:r>
          </w:p>
        </w:tc>
        <w:tc>
          <w:tcPr>
            <w:tcW w:type="dxa" w:w="1440"/>
          </w:tcPr>
          <w:p>
            <w:r>
              <w:t>PDL1</w:t>
            </w:r>
          </w:p>
        </w:tc>
        <w:tc>
          <w:tcPr>
            <w:tcW w:type="dxa" w:w="1440"/>
          </w:tcPr>
          <w:p>
            <w:r>
              <w:t>Checkpoint Exhaustion</w:t>
            </w:r>
          </w:p>
        </w:tc>
        <w:tc>
          <w:tcPr>
            <w:tcW w:type="dxa" w:w="1440"/>
          </w:tcPr>
          <w:p>
            <w:r>
              <w:t>0.705</w:t>
            </w:r>
          </w:p>
        </w:tc>
        <w:tc>
          <w:tcPr>
            <w:tcW w:type="dxa" w:w="1440"/>
          </w:tcPr>
          <w:p>
            <w:r>
              <w:t>Late</w:t>
            </w:r>
          </w:p>
        </w:tc>
        <w:tc>
          <w:tcPr>
            <w:tcW w:type="dxa" w:w="1440"/>
          </w:tcPr>
          <w:p>
            <w:r>
              <w:t>High</w:t>
            </w:r>
          </w:p>
        </w:tc>
      </w:tr>
      <w:tr>
        <w:tc>
          <w:tcPr>
            <w:tcW w:type="dxa" w:w="1440"/>
          </w:tcPr>
          <w:p>
            <w:r>
              <w:t>13</w:t>
            </w:r>
          </w:p>
        </w:tc>
        <w:tc>
          <w:tcPr>
            <w:tcW w:type="dxa" w:w="1440"/>
          </w:tcPr>
          <w:p>
            <w:r>
              <w:t>IFNG</w:t>
            </w:r>
          </w:p>
        </w:tc>
        <w:tc>
          <w:tcPr>
            <w:tcW w:type="dxa" w:w="1440"/>
          </w:tcPr>
          <w:p>
            <w:r>
              <w:t>Cytokine Storm</w:t>
            </w:r>
          </w:p>
        </w:tc>
        <w:tc>
          <w:tcPr>
            <w:tcW w:type="dxa" w:w="1440"/>
          </w:tcPr>
          <w:p>
            <w:r>
              <w:t>0.697</w:t>
            </w:r>
          </w:p>
        </w:tc>
        <w:tc>
          <w:tcPr>
            <w:tcW w:type="dxa" w:w="1440"/>
          </w:tcPr>
          <w:p>
            <w:r>
              <w:t>Late</w:t>
            </w:r>
          </w:p>
        </w:tc>
        <w:tc>
          <w:tcPr>
            <w:tcW w:type="dxa" w:w="1440"/>
          </w:tcPr>
          <w:p>
            <w:r>
              <w:t>Moderate</w:t>
            </w:r>
          </w:p>
        </w:tc>
      </w:tr>
      <w:tr>
        <w:tc>
          <w:tcPr>
            <w:tcW w:type="dxa" w:w="1440"/>
          </w:tcPr>
          <w:p>
            <w:r>
              <w:t>14</w:t>
            </w:r>
          </w:p>
        </w:tc>
        <w:tc>
          <w:tcPr>
            <w:tcW w:type="dxa" w:w="1440"/>
          </w:tcPr>
          <w:p>
            <w:r>
              <w:t>PD1</w:t>
            </w:r>
          </w:p>
        </w:tc>
        <w:tc>
          <w:tcPr>
            <w:tcW w:type="dxa" w:w="1440"/>
          </w:tcPr>
          <w:p>
            <w:r>
              <w:t>Checkpoint Exhaustion</w:t>
            </w:r>
          </w:p>
        </w:tc>
        <w:tc>
          <w:tcPr>
            <w:tcW w:type="dxa" w:w="1440"/>
          </w:tcPr>
          <w:p>
            <w:r>
              <w:t>0.684</w:t>
            </w:r>
          </w:p>
        </w:tc>
        <w:tc>
          <w:tcPr>
            <w:tcW w:type="dxa" w:w="1440"/>
          </w:tcPr>
          <w:p>
            <w:r>
              <w:t>Late</w:t>
            </w:r>
          </w:p>
        </w:tc>
        <w:tc>
          <w:tcPr>
            <w:tcW w:type="dxa" w:w="1440"/>
          </w:tcPr>
          <w:p>
            <w:r>
              <w:t>High</w:t>
            </w:r>
          </w:p>
        </w:tc>
      </w:tr>
      <w:tr>
        <w:tc>
          <w:tcPr>
            <w:tcW w:type="dxa" w:w="1440"/>
          </w:tcPr>
          <w:p>
            <w:r>
              <w:t>15</w:t>
            </w:r>
          </w:p>
        </w:tc>
        <w:tc>
          <w:tcPr>
            <w:tcW w:type="dxa" w:w="1440"/>
          </w:tcPr>
          <w:p>
            <w:r>
              <w:t>STAT3</w:t>
            </w:r>
          </w:p>
        </w:tc>
        <w:tc>
          <w:tcPr>
            <w:tcW w:type="dxa" w:w="1440"/>
          </w:tcPr>
          <w:p>
            <w:r>
              <w:t>Survival Signaling</w:t>
            </w:r>
          </w:p>
        </w:tc>
        <w:tc>
          <w:tcPr>
            <w:tcW w:type="dxa" w:w="1440"/>
          </w:tcPr>
          <w:p>
            <w:r>
              <w:t>0.682</w:t>
            </w:r>
          </w:p>
        </w:tc>
        <w:tc>
          <w:tcPr>
            <w:tcW w:type="dxa" w:w="1440"/>
          </w:tcPr>
          <w:p>
            <w:r>
              <w:t>Both</w:t>
            </w:r>
          </w:p>
        </w:tc>
        <w:tc>
          <w:tcPr>
            <w:tcW w:type="dxa" w:w="1440"/>
          </w:tcPr>
          <w:p>
            <w:r>
              <w:t>Moderate</w:t>
            </w:r>
          </w:p>
        </w:tc>
      </w:tr>
    </w:tbl>
    <w:p>
      <w:r>
        <w:rPr>
          <w:i/>
        </w:rPr>
        <w:t xml:space="preserve">Note: </w:t>
      </w:r>
      <w:r>
        <w:rPr>
          <w:i/>
        </w:rPr>
        <w:t>Complete 60-gene results available in Supplementary Table S1.</w:t>
      </w:r>
    </w:p>
    <w:p/>
    <w:p>
      <w:r>
        <w:rPr>
          <w:b/>
        </w:rPr>
        <w:t>Figure 1: Top 20 Host-Directed Therapy Targets for Sepsis, Colored by Immune Phase</w:t>
      </w:r>
    </w:p>
    <w:p>
      <w:pPr>
        <w:jc w:val="center"/>
      </w:pPr>
      <w:r>
        <w:drawing>
          <wp:inline xmlns:a="http://schemas.openxmlformats.org/drawingml/2006/main" xmlns:pic="http://schemas.openxmlformats.org/drawingml/2006/picture">
            <wp:extent cx="5029200" cy="3345756"/>
            <wp:docPr id="1" name="Picture 1"/>
            <wp:cNvGraphicFramePr>
              <a:graphicFrameLocks noChangeAspect="1"/>
            </wp:cNvGraphicFramePr>
            <a:graphic>
              <a:graphicData uri="http://schemas.openxmlformats.org/drawingml/2006/picture">
                <pic:pic>
                  <pic:nvPicPr>
                    <pic:cNvPr id="0" name="figure1_target_prioritization.png"/>
                    <pic:cNvPicPr/>
                  </pic:nvPicPr>
                  <pic:blipFill>
                    <a:blip r:embed="rId9"/>
                    <a:stretch>
                      <a:fillRect/>
                    </a:stretch>
                  </pic:blipFill>
                  <pic:spPr>
                    <a:xfrm>
                      <a:off x="0" y="0"/>
                      <a:ext cx="5029200" cy="3345756"/>
                    </a:xfrm>
                    <a:prstGeom prst="rect"/>
                  </pic:spPr>
                </pic:pic>
              </a:graphicData>
            </a:graphic>
          </wp:inline>
        </w:drawing>
      </w:r>
    </w:p>
    <w:p>
      <w:r>
        <w:rPr>
          <w:i/>
        </w:rPr>
        <w:t>Red = Early phase (hyperinflammation); Blue = Late phase (immunosuppression); Purple = Both phases. Bars represent composite prioritization scores.</w:t>
      </w:r>
    </w:p>
    <w:p>
      <w:r>
        <w:br w:type="page"/>
      </w:r>
    </w:p>
    <w:p>
      <w:pPr>
        <w:pStyle w:val="Heading2"/>
      </w:pPr>
      <w:r>
        <w:t>3.2 Phase-Specific Target Distribution</w:t>
      </w:r>
    </w:p>
    <w:p>
      <w:r>
        <w:t>Among the 60 prioritized targets, 33 (55%) were classified as early-phase targets associated with hyperinflammation, 18 (30%) as late-phase targets associated with immunosuppression, and 10 (17%) as relevant to both disease phases. This distribution reflects the biphasic nature of sepsis immunopathology and enables phase-specific therapeutic targeting.</w:t>
      </w:r>
    </w:p>
    <w:p>
      <w:r>
        <w:t>Key early-phase targets included cytokine storm mediators (IL-6, TNF, IL-1β), pattern recognition receptors (TLR4, TLR2), and inflammasome components (NLRP3, CASP1, GSDMD). Late-phase targets emphasized immune checkpoint molecules responsible for T-cell exhaustion (PD-1, PD-L1, CTLA-4, TIM-3, LAG-3) and myeloid dysfunction markers (HLA-DR, ARG1). The temporal distribution of therapeutic opportunities is illustrated in Figure 5.</w:t>
      </w:r>
    </w:p>
    <w:p/>
    <w:p>
      <w:r>
        <w:rPr>
          <w:b/>
        </w:rPr>
        <w:t>Figure 5: Sepsis Immune Response Timeline and Host-Directed Therapy Intervention Windows</w:t>
      </w:r>
    </w:p>
    <w:p>
      <w:pPr>
        <w:jc w:val="center"/>
      </w:pPr>
      <w:r>
        <w:drawing>
          <wp:inline xmlns:a="http://schemas.openxmlformats.org/drawingml/2006/main" xmlns:pic="http://schemas.openxmlformats.org/drawingml/2006/picture">
            <wp:extent cx="5029200" cy="3191466"/>
            <wp:docPr id="2" name="Picture 2"/>
            <wp:cNvGraphicFramePr>
              <a:graphicFrameLocks noChangeAspect="1"/>
            </wp:cNvGraphicFramePr>
            <a:graphic>
              <a:graphicData uri="http://schemas.openxmlformats.org/drawingml/2006/picture">
                <pic:pic>
                  <pic:nvPicPr>
                    <pic:cNvPr id="0" name="figure5_sepsis_timeline.png"/>
                    <pic:cNvPicPr/>
                  </pic:nvPicPr>
                  <pic:blipFill>
                    <a:blip r:embed="rId10"/>
                    <a:stretch>
                      <a:fillRect/>
                    </a:stretch>
                  </pic:blipFill>
                  <pic:spPr>
                    <a:xfrm>
                      <a:off x="0" y="0"/>
                      <a:ext cx="5029200" cy="3191466"/>
                    </a:xfrm>
                    <a:prstGeom prst="rect"/>
                  </pic:spPr>
                </pic:pic>
              </a:graphicData>
            </a:graphic>
          </wp:inline>
        </w:drawing>
      </w:r>
    </w:p>
    <w:p>
      <w:r>
        <w:rPr>
          <w:i/>
        </w:rPr>
        <w:t>Schematic showing biphasic immune response. Early phase (0-72h): hyperinflammatory cytokine storm amenable to anti-IL6, NLRP3 inhibitors, and JAK inhibitors. Late phase (&gt;72h): immunosuppressive paralysis amenable to checkpoint inhibitors, GM-CSF, and IL-7.</w:t>
      </w:r>
    </w:p>
    <w:p>
      <w:r>
        <w:br w:type="page"/>
      </w:r>
    </w:p>
    <w:p>
      <w:pPr>
        <w:pStyle w:val="Heading2"/>
      </w:pPr>
      <w:r>
        <w:t>3.3 Literature Validation of Priority Targets</w:t>
      </w:r>
    </w:p>
    <w:p>
      <w:r>
        <w:rPr>
          <w:b/>
        </w:rPr>
        <w:t xml:space="preserve">IL-6 (Rank 1): </w:t>
      </w:r>
      <w:r>
        <w:t>The primacy of IL-6 as a therapeutic target is strongly supported by clinical trial evidence. The RECOVERY trial demonstrated that Tocilizumab (anti-IL6R antibody) significantly reduced 28-day mortality in hospitalized COVID-19 patients with hypoxia, with consistent benefits observed across the REMAP-CAP platform trial.</w:t>
      </w:r>
      <w:r>
        <w:rPr>
          <w:vertAlign w:val="superscript"/>
        </w:rPr>
        <w:t>29,30</w:t>
      </w:r>
      <w:r>
        <w:t xml:space="preserve"> Given the shared immunopathology between viral and bacterial sepsis, IL-6 pathway inhibition represents a high-priority repurposing opportunity.</w:t>
      </w:r>
    </w:p>
    <w:p>
      <w:r>
        <w:rPr>
          <w:b/>
        </w:rPr>
        <w:t xml:space="preserve">NLRP3 (Rank 5): </w:t>
      </w:r>
      <w:r>
        <w:t>The NLRP3 inflammasome has emerged as a critical driver of pyroptotic cell death and IL-1β/IL-18 release in early sepsis. MCC950, a highly selective NLRP3 inhibitor, demonstrated efficacy in preclinical sepsis models and is currently in Phase II clinical development. Colchicine, which indirectly inhibits NLRP3 activation through microtubule disruption, showed beneficial effects in the COLCORONA trial and represents an immediately accessible repurposing candidate.</w:t>
      </w:r>
      <w:r>
        <w:rPr>
          <w:vertAlign w:val="superscript"/>
        </w:rPr>
        <w:t>31</w:t>
      </w:r>
      <w:r/>
    </w:p>
    <w:p>
      <w:r>
        <w:rPr>
          <w:b/>
        </w:rPr>
        <w:t xml:space="preserve">PD-1 (Rank 4): </w:t>
      </w:r>
      <w:r>
        <w:t>T-cell exhaustion mediated by PD-1/PD-L1 signaling is a hallmark of late immunosuppressive sepsis. A Phase 1b randomized trial of Nivolumab (anti-PD-1) in septic patients demonstrated safety, restored lymphocyte counts, and improved monocyte HLA-DR expression without inducing cytokine storm.</w:t>
      </w:r>
      <w:r>
        <w:rPr>
          <w:vertAlign w:val="superscript"/>
        </w:rPr>
        <w:t>32</w:t>
      </w:r>
      <w:r>
        <w:t xml:space="preserve"> This provides proof-of-concept for checkpoint inhibition in late sepsis.</w:t>
      </w:r>
    </w:p>
    <w:p>
      <w:pPr>
        <w:pStyle w:val="Heading2"/>
      </w:pPr>
      <w:r>
        <w:t>3.4 Compound Discovery and Drug Repurposing</w:t>
      </w:r>
    </w:p>
    <w:p>
      <w:r>
        <w:t>The ChEMBL mining identified 37 clinically advanced compounds with documented bioactivity against prioritized sepsis targets. Notably, 26 compounds (70%) are already FDA-approved for other indications, providing a robust pipeline for drug repurposing with established safety profiles. The priority drug candidates with their clinical evidence are summarized in Table 2.</w:t>
      </w:r>
    </w:p>
    <w:p/>
    <w:p>
      <w:r>
        <w:rPr>
          <w:b/>
        </w:rPr>
        <w:t>Table 2: Priority FDA-Approved Drug Candidates for Sepsis Repurposing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Drug</w:t>
            </w:r>
          </w:p>
        </w:tc>
        <w:tc>
          <w:tcPr>
            <w:tcW w:type="dxa" w:w="1440"/>
            <w:shd w:fill="D9E2F3"/>
          </w:tcPr>
          <w:p>
            <w:r>
              <w:rPr>
                <w:b/>
              </w:rPr>
              <w:t>Target</w:t>
            </w:r>
          </w:p>
        </w:tc>
        <w:tc>
          <w:tcPr>
            <w:tcW w:type="dxa" w:w="1440"/>
            <w:shd w:fill="D9E2F3"/>
          </w:tcPr>
          <w:p>
            <w:r>
              <w:rPr>
                <w:b/>
              </w:rPr>
              <w:t>pChEMBL</w:t>
            </w:r>
          </w:p>
        </w:tc>
        <w:tc>
          <w:tcPr>
            <w:tcW w:type="dxa" w:w="1440"/>
            <w:shd w:fill="D9E2F3"/>
          </w:tcPr>
          <w:p>
            <w:r>
              <w:rPr>
                <w:b/>
              </w:rPr>
              <w:t>Clinical Evidence</w:t>
            </w:r>
          </w:p>
        </w:tc>
        <w:tc>
          <w:tcPr>
            <w:tcW w:type="dxa" w:w="1440"/>
            <w:shd w:fill="D9E2F3"/>
          </w:tcPr>
          <w:p>
            <w:r>
              <w:rPr>
                <w:b/>
              </w:rPr>
              <w:t>Phase Indication</w:t>
            </w:r>
          </w:p>
        </w:tc>
        <w:tc>
          <w:tcPr>
            <w:tcW w:type="dxa" w:w="1440"/>
            <w:shd w:fill="D9E2F3"/>
          </w:tcPr>
          <w:p>
            <w:r>
              <w:rPr>
                <w:b/>
              </w:rPr>
              <w:t>Status</w:t>
            </w:r>
          </w:p>
        </w:tc>
      </w:tr>
      <w:tr>
        <w:tc>
          <w:tcPr>
            <w:tcW w:type="dxa" w:w="1440"/>
          </w:tcPr>
          <w:p>
            <w:r>
              <w:t>Tocilizumab</w:t>
            </w:r>
          </w:p>
        </w:tc>
        <w:tc>
          <w:tcPr>
            <w:tcW w:type="dxa" w:w="1440"/>
          </w:tcPr>
          <w:p>
            <w:r>
              <w:t>IL-6R</w:t>
            </w:r>
          </w:p>
        </w:tc>
        <w:tc>
          <w:tcPr>
            <w:tcW w:type="dxa" w:w="1440"/>
          </w:tcPr>
          <w:p>
            <w:r>
              <w:t>8.5</w:t>
            </w:r>
          </w:p>
        </w:tc>
        <w:tc>
          <w:tcPr>
            <w:tcW w:type="dxa" w:w="1440"/>
          </w:tcPr>
          <w:p>
            <w:r>
              <w:t>RECOVERY trial</w:t>
            </w:r>
          </w:p>
        </w:tc>
        <w:tc>
          <w:tcPr>
            <w:tcW w:type="dxa" w:w="1440"/>
          </w:tcPr>
          <w:p>
            <w:r>
              <w:t>Early</w:t>
            </w:r>
          </w:p>
        </w:tc>
        <w:tc>
          <w:tcPr>
            <w:tcW w:type="dxa" w:w="1440"/>
          </w:tcPr>
          <w:p>
            <w:r>
              <w:t>FDA approved</w:t>
            </w:r>
          </w:p>
        </w:tc>
      </w:tr>
      <w:tr>
        <w:tc>
          <w:tcPr>
            <w:tcW w:type="dxa" w:w="1440"/>
          </w:tcPr>
          <w:p>
            <w:r>
              <w:t>Baricitinib</w:t>
            </w:r>
          </w:p>
        </w:tc>
        <w:tc>
          <w:tcPr>
            <w:tcW w:type="dxa" w:w="1440"/>
          </w:tcPr>
          <w:p>
            <w:r>
              <w:t>JAK1/2</w:t>
            </w:r>
          </w:p>
        </w:tc>
        <w:tc>
          <w:tcPr>
            <w:tcW w:type="dxa" w:w="1440"/>
          </w:tcPr>
          <w:p>
            <w:r>
              <w:t>7.8</w:t>
            </w:r>
          </w:p>
        </w:tc>
        <w:tc>
          <w:tcPr>
            <w:tcW w:type="dxa" w:w="1440"/>
          </w:tcPr>
          <w:p>
            <w:r>
              <w:t>ACTT-2 trial</w:t>
            </w:r>
          </w:p>
        </w:tc>
        <w:tc>
          <w:tcPr>
            <w:tcW w:type="dxa" w:w="1440"/>
          </w:tcPr>
          <w:p>
            <w:r>
              <w:t>Both</w:t>
            </w:r>
          </w:p>
        </w:tc>
        <w:tc>
          <w:tcPr>
            <w:tcW w:type="dxa" w:w="1440"/>
          </w:tcPr>
          <w:p>
            <w:r>
              <w:t>FDA approved</w:t>
            </w:r>
          </w:p>
        </w:tc>
      </w:tr>
      <w:tr>
        <w:tc>
          <w:tcPr>
            <w:tcW w:type="dxa" w:w="1440"/>
          </w:tcPr>
          <w:p>
            <w:r>
              <w:t>Anakinra</w:t>
            </w:r>
          </w:p>
        </w:tc>
        <w:tc>
          <w:tcPr>
            <w:tcW w:type="dxa" w:w="1440"/>
          </w:tcPr>
          <w:p>
            <w:r>
              <w:t>IL-1R</w:t>
            </w:r>
          </w:p>
        </w:tc>
        <w:tc>
          <w:tcPr>
            <w:tcW w:type="dxa" w:w="1440"/>
          </w:tcPr>
          <w:p>
            <w:r>
              <w:t>8.0</w:t>
            </w:r>
          </w:p>
        </w:tc>
        <w:tc>
          <w:tcPr>
            <w:tcW w:type="dxa" w:w="1440"/>
          </w:tcPr>
          <w:p>
            <w:r>
              <w:t>SAVE-MORE trial</w:t>
            </w:r>
          </w:p>
        </w:tc>
        <w:tc>
          <w:tcPr>
            <w:tcW w:type="dxa" w:w="1440"/>
          </w:tcPr>
          <w:p>
            <w:r>
              <w:t>Early</w:t>
            </w:r>
          </w:p>
        </w:tc>
        <w:tc>
          <w:tcPr>
            <w:tcW w:type="dxa" w:w="1440"/>
          </w:tcPr>
          <w:p>
            <w:r>
              <w:t>FDA approved</w:t>
            </w:r>
          </w:p>
        </w:tc>
      </w:tr>
      <w:tr>
        <w:tc>
          <w:tcPr>
            <w:tcW w:type="dxa" w:w="1440"/>
          </w:tcPr>
          <w:p>
            <w:r>
              <w:t>Nivolumab</w:t>
            </w:r>
          </w:p>
        </w:tc>
        <w:tc>
          <w:tcPr>
            <w:tcW w:type="dxa" w:w="1440"/>
          </w:tcPr>
          <w:p>
            <w:r>
              <w:t>PD-1</w:t>
            </w:r>
          </w:p>
        </w:tc>
        <w:tc>
          <w:tcPr>
            <w:tcW w:type="dxa" w:w="1440"/>
          </w:tcPr>
          <w:p>
            <w:r>
              <w:t>9.0</w:t>
            </w:r>
          </w:p>
        </w:tc>
        <w:tc>
          <w:tcPr>
            <w:tcW w:type="dxa" w:w="1440"/>
          </w:tcPr>
          <w:p>
            <w:r>
              <w:t>Phase 1b sepsis</w:t>
            </w:r>
          </w:p>
        </w:tc>
        <w:tc>
          <w:tcPr>
            <w:tcW w:type="dxa" w:w="1440"/>
          </w:tcPr>
          <w:p>
            <w:r>
              <w:t>Late</w:t>
            </w:r>
          </w:p>
        </w:tc>
        <w:tc>
          <w:tcPr>
            <w:tcW w:type="dxa" w:w="1440"/>
          </w:tcPr>
          <w:p>
            <w:r>
              <w:t>FDA approved</w:t>
            </w:r>
          </w:p>
        </w:tc>
      </w:tr>
      <w:tr>
        <w:tc>
          <w:tcPr>
            <w:tcW w:type="dxa" w:w="1440"/>
          </w:tcPr>
          <w:p>
            <w:r>
              <w:t>Colchicine</w:t>
            </w:r>
          </w:p>
        </w:tc>
        <w:tc>
          <w:tcPr>
            <w:tcW w:type="dxa" w:w="1440"/>
          </w:tcPr>
          <w:p>
            <w:r>
              <w:t>NLRP3</w:t>
            </w:r>
          </w:p>
        </w:tc>
        <w:tc>
          <w:tcPr>
            <w:tcW w:type="dxa" w:w="1440"/>
          </w:tcPr>
          <w:p>
            <w:r>
              <w:t>5.8</w:t>
            </w:r>
          </w:p>
        </w:tc>
        <w:tc>
          <w:tcPr>
            <w:tcW w:type="dxa" w:w="1440"/>
          </w:tcPr>
          <w:p>
            <w:r>
              <w:t>COLCORONA trial</w:t>
            </w:r>
          </w:p>
        </w:tc>
        <w:tc>
          <w:tcPr>
            <w:tcW w:type="dxa" w:w="1440"/>
          </w:tcPr>
          <w:p>
            <w:r>
              <w:t>Early</w:t>
            </w:r>
          </w:p>
        </w:tc>
        <w:tc>
          <w:tcPr>
            <w:tcW w:type="dxa" w:w="1440"/>
          </w:tcPr>
          <w:p>
            <w:r>
              <w:t>FDA approved</w:t>
            </w:r>
          </w:p>
        </w:tc>
      </w:tr>
      <w:tr>
        <w:tc>
          <w:tcPr>
            <w:tcW w:type="dxa" w:w="1440"/>
          </w:tcPr>
          <w:p>
            <w:r>
              <w:t>MCC950</w:t>
            </w:r>
          </w:p>
        </w:tc>
        <w:tc>
          <w:tcPr>
            <w:tcW w:type="dxa" w:w="1440"/>
          </w:tcPr>
          <w:p>
            <w:r>
              <w:t>NLRP3</w:t>
            </w:r>
          </w:p>
        </w:tc>
        <w:tc>
          <w:tcPr>
            <w:tcW w:type="dxa" w:w="1440"/>
          </w:tcPr>
          <w:p>
            <w:r>
              <w:t>8.5</w:t>
            </w:r>
          </w:p>
        </w:tc>
        <w:tc>
          <w:tcPr>
            <w:tcW w:type="dxa" w:w="1440"/>
          </w:tcPr>
          <w:p>
            <w:r>
              <w:t>Phase II</w:t>
            </w:r>
          </w:p>
        </w:tc>
        <w:tc>
          <w:tcPr>
            <w:tcW w:type="dxa" w:w="1440"/>
          </w:tcPr>
          <w:p>
            <w:r>
              <w:t>Early</w:t>
            </w:r>
          </w:p>
        </w:tc>
        <w:tc>
          <w:tcPr>
            <w:tcW w:type="dxa" w:w="1440"/>
          </w:tcPr>
          <w:p>
            <w:r>
              <w:t>Clinical</w:t>
            </w:r>
          </w:p>
        </w:tc>
      </w:tr>
      <w:tr>
        <w:tc>
          <w:tcPr>
            <w:tcW w:type="dxa" w:w="1440"/>
          </w:tcPr>
          <w:p>
            <w:r>
              <w:t>Ruxolitinib</w:t>
            </w:r>
          </w:p>
        </w:tc>
        <w:tc>
          <w:tcPr>
            <w:tcW w:type="dxa" w:w="1440"/>
          </w:tcPr>
          <w:p>
            <w:r>
              <w:t>JAK1/2</w:t>
            </w:r>
          </w:p>
        </w:tc>
        <w:tc>
          <w:tcPr>
            <w:tcW w:type="dxa" w:w="1440"/>
          </w:tcPr>
          <w:p>
            <w:r>
              <w:t>7.5</w:t>
            </w:r>
          </w:p>
        </w:tc>
        <w:tc>
          <w:tcPr>
            <w:tcW w:type="dxa" w:w="1440"/>
          </w:tcPr>
          <w:p>
            <w:r>
              <w:t>MPN approved</w:t>
            </w:r>
          </w:p>
        </w:tc>
        <w:tc>
          <w:tcPr>
            <w:tcW w:type="dxa" w:w="1440"/>
          </w:tcPr>
          <w:p>
            <w:r>
              <w:t>Both</w:t>
            </w:r>
          </w:p>
        </w:tc>
        <w:tc>
          <w:tcPr>
            <w:tcW w:type="dxa" w:w="1440"/>
          </w:tcPr>
          <w:p>
            <w:r>
              <w:t>FDA approved</w:t>
            </w:r>
          </w:p>
        </w:tc>
      </w:tr>
      <w:tr>
        <w:tc>
          <w:tcPr>
            <w:tcW w:type="dxa" w:w="1440"/>
          </w:tcPr>
          <w:p>
            <w:r>
              <w:t>Emapalumab</w:t>
            </w:r>
          </w:p>
        </w:tc>
        <w:tc>
          <w:tcPr>
            <w:tcW w:type="dxa" w:w="1440"/>
          </w:tcPr>
          <w:p>
            <w:r>
              <w:t>IFN-γ</w:t>
            </w:r>
          </w:p>
        </w:tc>
        <w:tc>
          <w:tcPr>
            <w:tcW w:type="dxa" w:w="1440"/>
          </w:tcPr>
          <w:p>
            <w:r>
              <w:t>9.0</w:t>
            </w:r>
          </w:p>
        </w:tc>
        <w:tc>
          <w:tcPr>
            <w:tcW w:type="dxa" w:w="1440"/>
          </w:tcPr>
          <w:p>
            <w:r>
              <w:t>HLH approved</w:t>
            </w:r>
          </w:p>
        </w:tc>
        <w:tc>
          <w:tcPr>
            <w:tcW w:type="dxa" w:w="1440"/>
          </w:tcPr>
          <w:p>
            <w:r>
              <w:t>Early</w:t>
            </w:r>
          </w:p>
        </w:tc>
        <w:tc>
          <w:tcPr>
            <w:tcW w:type="dxa" w:w="1440"/>
          </w:tcPr>
          <w:p>
            <w:r>
              <w:t>FDA approved</w:t>
            </w:r>
          </w:p>
        </w:tc>
      </w:tr>
      <w:tr>
        <w:tc>
          <w:tcPr>
            <w:tcW w:type="dxa" w:w="1440"/>
          </w:tcPr>
          <w:p>
            <w:r>
              <w:t>Thrombomodulin</w:t>
            </w:r>
          </w:p>
        </w:tc>
        <w:tc>
          <w:tcPr>
            <w:tcW w:type="dxa" w:w="1440"/>
          </w:tcPr>
          <w:p>
            <w:r>
              <w:t>THBD</w:t>
            </w:r>
          </w:p>
        </w:tc>
        <w:tc>
          <w:tcPr>
            <w:tcW w:type="dxa" w:w="1440"/>
          </w:tcPr>
          <w:p>
            <w:r>
              <w:t>7.2</w:t>
            </w:r>
          </w:p>
        </w:tc>
        <w:tc>
          <w:tcPr>
            <w:tcW w:type="dxa" w:w="1440"/>
          </w:tcPr>
          <w:p>
            <w:r>
              <w:t>Japan approved</w:t>
            </w:r>
          </w:p>
        </w:tc>
        <w:tc>
          <w:tcPr>
            <w:tcW w:type="dxa" w:w="1440"/>
          </w:tcPr>
          <w:p>
            <w:r>
              <w:t>Both</w:t>
            </w:r>
          </w:p>
        </w:tc>
        <w:tc>
          <w:tcPr>
            <w:tcW w:type="dxa" w:w="1440"/>
          </w:tcPr>
          <w:p>
            <w:r>
              <w:t>Approved (JP)</w:t>
            </w:r>
          </w:p>
        </w:tc>
      </w:tr>
      <w:tr>
        <w:tc>
          <w:tcPr>
            <w:tcW w:type="dxa" w:w="1440"/>
          </w:tcPr>
          <w:p>
            <w:r>
              <w:t>GM-CSF</w:t>
            </w:r>
          </w:p>
        </w:tc>
        <w:tc>
          <w:tcPr>
            <w:tcW w:type="dxa" w:w="1440"/>
          </w:tcPr>
          <w:p>
            <w:r>
              <w:t>CSF2R</w:t>
            </w:r>
          </w:p>
        </w:tc>
        <w:tc>
          <w:tcPr>
            <w:tcW w:type="dxa" w:w="1440"/>
          </w:tcPr>
          <w:p>
            <w:r>
              <w:t>7.0</w:t>
            </w:r>
          </w:p>
        </w:tc>
        <w:tc>
          <w:tcPr>
            <w:tcW w:type="dxa" w:w="1440"/>
          </w:tcPr>
          <w:p>
            <w:r>
              <w:t>Phase III sepsis</w:t>
            </w:r>
          </w:p>
        </w:tc>
        <w:tc>
          <w:tcPr>
            <w:tcW w:type="dxa" w:w="1440"/>
          </w:tcPr>
          <w:p>
            <w:r>
              <w:t>Late</w:t>
            </w:r>
          </w:p>
        </w:tc>
        <w:tc>
          <w:tcPr>
            <w:tcW w:type="dxa" w:w="1440"/>
          </w:tcPr>
          <w:p>
            <w:r>
              <w:t>Clinical</w:t>
            </w:r>
          </w:p>
        </w:tc>
      </w:tr>
    </w:tbl>
    <w:p>
      <w:r>
        <w:rPr>
          <w:i/>
        </w:rPr>
        <w:t xml:space="preserve">Note: </w:t>
      </w:r>
      <w:r>
        <w:rPr>
          <w:i/>
        </w:rPr>
        <w:t>Complete compound list available in Supplementary Table S2.</w:t>
      </w:r>
    </w:p>
    <w:p/>
    <w:p>
      <w:r>
        <w:rPr>
          <w:b/>
        </w:rPr>
        <w:t>Figure 2: Compound Distribution by Clinical Development Phase and Target</w:t>
      </w:r>
    </w:p>
    <w:p>
      <w:pPr>
        <w:jc w:val="center"/>
      </w:pPr>
      <w:r>
        <w:drawing>
          <wp:inline xmlns:a="http://schemas.openxmlformats.org/drawingml/2006/main" xmlns:pic="http://schemas.openxmlformats.org/drawingml/2006/picture">
            <wp:extent cx="5029200" cy="2263140"/>
            <wp:docPr id="3" name="Picture 3"/>
            <wp:cNvGraphicFramePr>
              <a:graphicFrameLocks noChangeAspect="1"/>
            </wp:cNvGraphicFramePr>
            <a:graphic>
              <a:graphicData uri="http://schemas.openxmlformats.org/drawingml/2006/picture">
                <pic:pic>
                  <pic:nvPicPr>
                    <pic:cNvPr id="0" name="figure2_compound_distribution.png"/>
                    <pic:cNvPicPr/>
                  </pic:nvPicPr>
                  <pic:blipFill>
                    <a:blip r:embed="rId11"/>
                    <a:stretch>
                      <a:fillRect/>
                    </a:stretch>
                  </pic:blipFill>
                  <pic:spPr>
                    <a:xfrm>
                      <a:off x="0" y="0"/>
                      <a:ext cx="5029200" cy="2263140"/>
                    </a:xfrm>
                    <a:prstGeom prst="rect"/>
                  </pic:spPr>
                </pic:pic>
              </a:graphicData>
            </a:graphic>
          </wp:inline>
        </w:drawing>
      </w:r>
    </w:p>
    <w:p>
      <w:r>
        <w:rPr>
          <w:i/>
        </w:rPr>
        <w:t>(A) Distribution of compounds by clinical development phase. (B) Number of bioactive compounds per target gene.</w:t>
      </w:r>
    </w:p>
    <w:p>
      <w:r>
        <w:br w:type="page"/>
      </w:r>
    </w:p>
    <w:p>
      <w:pPr>
        <w:pStyle w:val="Heading2"/>
      </w:pPr>
      <w:r>
        <w:t>3.5 Pathway Analysis</w:t>
      </w:r>
    </w:p>
    <w:p>
      <w:r>
        <w:t>The 60 prioritized targets distributed across 11 functional pathways relevant to sepsis pathophysiology. The cytokine storm pathway contained the highest-scoring targets overall, while checkpoint exhaustion pathway targets showed the strongest association with late-phase immunosuppression. Pathway-level analysis is presented in Table 3 and Figure 4.</w:t>
      </w:r>
    </w:p>
    <w:p/>
    <w:p>
      <w:r>
        <w:rPr>
          <w:b/>
        </w:rPr>
        <w:t>Table 3: Target Distribution by Functional Pathway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Pathway</w:t>
            </w:r>
          </w:p>
        </w:tc>
        <w:tc>
          <w:tcPr>
            <w:tcW w:type="dxa" w:w="1728"/>
            <w:shd w:fill="D9E2F3"/>
          </w:tcPr>
          <w:p>
            <w:r>
              <w:rPr>
                <w:b/>
              </w:rPr>
              <w:t>Targets (n)</w:t>
            </w:r>
          </w:p>
        </w:tc>
        <w:tc>
          <w:tcPr>
            <w:tcW w:type="dxa" w:w="1728"/>
            <w:shd w:fill="D9E2F3"/>
          </w:tcPr>
          <w:p>
            <w:r>
              <w:rPr>
                <w:b/>
              </w:rPr>
              <w:t>Mean Score</w:t>
            </w:r>
          </w:p>
        </w:tc>
        <w:tc>
          <w:tcPr>
            <w:tcW w:type="dxa" w:w="1728"/>
            <w:shd w:fill="D9E2F3"/>
          </w:tcPr>
          <w:p>
            <w:r>
              <w:rPr>
                <w:b/>
              </w:rPr>
              <w:t>Max Score</w:t>
            </w:r>
          </w:p>
        </w:tc>
        <w:tc>
          <w:tcPr>
            <w:tcW w:type="dxa" w:w="1728"/>
            <w:shd w:fill="D9E2F3"/>
          </w:tcPr>
          <w:p>
            <w:r>
              <w:rPr>
                <w:b/>
              </w:rPr>
              <w:t>Predominant Phase</w:t>
            </w:r>
          </w:p>
        </w:tc>
      </w:tr>
      <w:tr>
        <w:tc>
          <w:tcPr>
            <w:tcW w:type="dxa" w:w="1728"/>
          </w:tcPr>
          <w:p>
            <w:r>
              <w:t>Cytokine Storm</w:t>
            </w:r>
          </w:p>
        </w:tc>
        <w:tc>
          <w:tcPr>
            <w:tcW w:type="dxa" w:w="1728"/>
          </w:tcPr>
          <w:p>
            <w:r>
              <w:t>5</w:t>
            </w:r>
          </w:p>
        </w:tc>
        <w:tc>
          <w:tcPr>
            <w:tcW w:type="dxa" w:w="1728"/>
          </w:tcPr>
          <w:p>
            <w:r>
              <w:t>0.818</w:t>
            </w:r>
          </w:p>
        </w:tc>
        <w:tc>
          <w:tcPr>
            <w:tcW w:type="dxa" w:w="1728"/>
          </w:tcPr>
          <w:p>
            <w:r>
              <w:t>0.916</w:t>
            </w:r>
          </w:p>
        </w:tc>
        <w:tc>
          <w:tcPr>
            <w:tcW w:type="dxa" w:w="1728"/>
          </w:tcPr>
          <w:p>
            <w:r>
              <w:t>Early</w:t>
            </w:r>
          </w:p>
        </w:tc>
      </w:tr>
      <w:tr>
        <w:tc>
          <w:tcPr>
            <w:tcW w:type="dxa" w:w="1728"/>
          </w:tcPr>
          <w:p>
            <w:r>
              <w:t>Pattern Recognition</w:t>
            </w:r>
          </w:p>
        </w:tc>
        <w:tc>
          <w:tcPr>
            <w:tcW w:type="dxa" w:w="1728"/>
          </w:tcPr>
          <w:p>
            <w:r>
              <w:t>5</w:t>
            </w:r>
          </w:p>
        </w:tc>
        <w:tc>
          <w:tcPr>
            <w:tcW w:type="dxa" w:w="1728"/>
          </w:tcPr>
          <w:p>
            <w:r>
              <w:t>0.617</w:t>
            </w:r>
          </w:p>
        </w:tc>
        <w:tc>
          <w:tcPr>
            <w:tcW w:type="dxa" w:w="1728"/>
          </w:tcPr>
          <w:p>
            <w:r>
              <w:t>0.843</w:t>
            </w:r>
          </w:p>
        </w:tc>
        <w:tc>
          <w:tcPr>
            <w:tcW w:type="dxa" w:w="1728"/>
          </w:tcPr>
          <w:p>
            <w:r>
              <w:t>Early</w:t>
            </w:r>
          </w:p>
        </w:tc>
      </w:tr>
      <w:tr>
        <w:tc>
          <w:tcPr>
            <w:tcW w:type="dxa" w:w="1728"/>
          </w:tcPr>
          <w:p>
            <w:r>
              <w:t>Survival Signaling</w:t>
            </w:r>
          </w:p>
        </w:tc>
        <w:tc>
          <w:tcPr>
            <w:tcW w:type="dxa" w:w="1728"/>
          </w:tcPr>
          <w:p>
            <w:r>
              <w:t>6</w:t>
            </w:r>
          </w:p>
        </w:tc>
        <w:tc>
          <w:tcPr>
            <w:tcW w:type="dxa" w:w="1728"/>
          </w:tcPr>
          <w:p>
            <w:r>
              <w:t>0.620</w:t>
            </w:r>
          </w:p>
        </w:tc>
        <w:tc>
          <w:tcPr>
            <w:tcW w:type="dxa" w:w="1728"/>
          </w:tcPr>
          <w:p>
            <w:r>
              <w:t>0.763</w:t>
            </w:r>
          </w:p>
        </w:tc>
        <w:tc>
          <w:tcPr>
            <w:tcW w:type="dxa" w:w="1728"/>
          </w:tcPr>
          <w:p>
            <w:r>
              <w:t>Both</w:t>
            </w:r>
          </w:p>
        </w:tc>
      </w:tr>
      <w:tr>
        <w:tc>
          <w:tcPr>
            <w:tcW w:type="dxa" w:w="1728"/>
          </w:tcPr>
          <w:p>
            <w:r>
              <w:t>Vascular</w:t>
            </w:r>
          </w:p>
        </w:tc>
        <w:tc>
          <w:tcPr>
            <w:tcW w:type="dxa" w:w="1728"/>
          </w:tcPr>
          <w:p>
            <w:r>
              <w:t>7</w:t>
            </w:r>
          </w:p>
        </w:tc>
        <w:tc>
          <w:tcPr>
            <w:tcW w:type="dxa" w:w="1728"/>
          </w:tcPr>
          <w:p>
            <w:r>
              <w:t>0.571</w:t>
            </w:r>
          </w:p>
        </w:tc>
        <w:tc>
          <w:tcPr>
            <w:tcW w:type="dxa" w:w="1728"/>
          </w:tcPr>
          <w:p>
            <w:r>
              <w:t>0.758</w:t>
            </w:r>
          </w:p>
        </w:tc>
        <w:tc>
          <w:tcPr>
            <w:tcW w:type="dxa" w:w="1728"/>
          </w:tcPr>
          <w:p>
            <w:r>
              <w:t>Early</w:t>
            </w:r>
          </w:p>
        </w:tc>
      </w:tr>
      <w:tr>
        <w:tc>
          <w:tcPr>
            <w:tcW w:type="dxa" w:w="1728"/>
          </w:tcPr>
          <w:p>
            <w:r>
              <w:t>Cell Trafficking</w:t>
            </w:r>
          </w:p>
        </w:tc>
        <w:tc>
          <w:tcPr>
            <w:tcW w:type="dxa" w:w="1728"/>
          </w:tcPr>
          <w:p>
            <w:r>
              <w:t>4</w:t>
            </w:r>
          </w:p>
        </w:tc>
        <w:tc>
          <w:tcPr>
            <w:tcW w:type="dxa" w:w="1728"/>
          </w:tcPr>
          <w:p>
            <w:r>
              <w:t>0.643</w:t>
            </w:r>
          </w:p>
        </w:tc>
        <w:tc>
          <w:tcPr>
            <w:tcW w:type="dxa" w:w="1728"/>
          </w:tcPr>
          <w:p>
            <w:r>
              <w:t>0.746</w:t>
            </w:r>
          </w:p>
        </w:tc>
        <w:tc>
          <w:tcPr>
            <w:tcW w:type="dxa" w:w="1728"/>
          </w:tcPr>
          <w:p>
            <w:r>
              <w:t>Early</w:t>
            </w:r>
          </w:p>
        </w:tc>
      </w:tr>
      <w:tr>
        <w:tc>
          <w:tcPr>
            <w:tcW w:type="dxa" w:w="1728"/>
          </w:tcPr>
          <w:p>
            <w:r>
              <w:t>Inflammasome</w:t>
            </w:r>
          </w:p>
        </w:tc>
        <w:tc>
          <w:tcPr>
            <w:tcW w:type="dxa" w:w="1728"/>
          </w:tcPr>
          <w:p>
            <w:r>
              <w:t>6</w:t>
            </w:r>
          </w:p>
        </w:tc>
        <w:tc>
          <w:tcPr>
            <w:tcW w:type="dxa" w:w="1728"/>
          </w:tcPr>
          <w:p>
            <w:r>
              <w:t>0.534</w:t>
            </w:r>
          </w:p>
        </w:tc>
        <w:tc>
          <w:tcPr>
            <w:tcW w:type="dxa" w:w="1728"/>
          </w:tcPr>
          <w:p>
            <w:r>
              <w:t>0.728</w:t>
            </w:r>
          </w:p>
        </w:tc>
        <w:tc>
          <w:tcPr>
            <w:tcW w:type="dxa" w:w="1728"/>
          </w:tcPr>
          <w:p>
            <w:r>
              <w:t>Early</w:t>
            </w:r>
          </w:p>
        </w:tc>
      </w:tr>
      <w:tr>
        <w:tc>
          <w:tcPr>
            <w:tcW w:type="dxa" w:w="1728"/>
          </w:tcPr>
          <w:p>
            <w:r>
              <w:t>Immunosuppression</w:t>
            </w:r>
          </w:p>
        </w:tc>
        <w:tc>
          <w:tcPr>
            <w:tcW w:type="dxa" w:w="1728"/>
          </w:tcPr>
          <w:p>
            <w:r>
              <w:t>2</w:t>
            </w:r>
          </w:p>
        </w:tc>
        <w:tc>
          <w:tcPr>
            <w:tcW w:type="dxa" w:w="1728"/>
          </w:tcPr>
          <w:p>
            <w:r>
              <w:t>0.644</w:t>
            </w:r>
          </w:p>
        </w:tc>
        <w:tc>
          <w:tcPr>
            <w:tcW w:type="dxa" w:w="1728"/>
          </w:tcPr>
          <w:p>
            <w:r>
              <w:t>0.707</w:t>
            </w:r>
          </w:p>
        </w:tc>
        <w:tc>
          <w:tcPr>
            <w:tcW w:type="dxa" w:w="1728"/>
          </w:tcPr>
          <w:p>
            <w:r>
              <w:t>Late</w:t>
            </w:r>
          </w:p>
        </w:tc>
      </w:tr>
      <w:tr>
        <w:tc>
          <w:tcPr>
            <w:tcW w:type="dxa" w:w="1728"/>
          </w:tcPr>
          <w:p>
            <w:r>
              <w:t>Checkpoint Exhaustion</w:t>
            </w:r>
          </w:p>
        </w:tc>
        <w:tc>
          <w:tcPr>
            <w:tcW w:type="dxa" w:w="1728"/>
          </w:tcPr>
          <w:p>
            <w:r>
              <w:t>7</w:t>
            </w:r>
          </w:p>
        </w:tc>
        <w:tc>
          <w:tcPr>
            <w:tcW w:type="dxa" w:w="1728"/>
          </w:tcPr>
          <w:p>
            <w:r>
              <w:t>0.571</w:t>
            </w:r>
          </w:p>
        </w:tc>
        <w:tc>
          <w:tcPr>
            <w:tcW w:type="dxa" w:w="1728"/>
          </w:tcPr>
          <w:p>
            <w:r>
              <w:t>0.705</w:t>
            </w:r>
          </w:p>
        </w:tc>
        <w:tc>
          <w:tcPr>
            <w:tcW w:type="dxa" w:w="1728"/>
          </w:tcPr>
          <w:p>
            <w:r>
              <w:t>Late</w:t>
            </w:r>
          </w:p>
        </w:tc>
      </w:tr>
    </w:tbl>
    <w:p/>
    <w:p>
      <w:r>
        <w:rPr>
          <w:b/>
        </w:rPr>
        <w:t>Figure 4: Pathway-Level Analysis of Sepsis HDT Targets</w:t>
      </w:r>
    </w:p>
    <w:p>
      <w:pPr>
        <w:jc w:val="center"/>
      </w:pPr>
      <w:r>
        <w:drawing>
          <wp:inline xmlns:a="http://schemas.openxmlformats.org/drawingml/2006/main" xmlns:pic="http://schemas.openxmlformats.org/drawingml/2006/picture">
            <wp:extent cx="5029200" cy="2861421"/>
            <wp:docPr id="4" name="Picture 4"/>
            <wp:cNvGraphicFramePr>
              <a:graphicFrameLocks noChangeAspect="1"/>
            </wp:cNvGraphicFramePr>
            <a:graphic>
              <a:graphicData uri="http://schemas.openxmlformats.org/drawingml/2006/picture">
                <pic:pic>
                  <pic:nvPicPr>
                    <pic:cNvPr id="0" name="figure4_pathway_heatmap.png"/>
                    <pic:cNvPicPr/>
                  </pic:nvPicPr>
                  <pic:blipFill>
                    <a:blip r:embed="rId12"/>
                    <a:stretch>
                      <a:fillRect/>
                    </a:stretch>
                  </pic:blipFill>
                  <pic:spPr>
                    <a:xfrm>
                      <a:off x="0" y="0"/>
                      <a:ext cx="5029200" cy="2861421"/>
                    </a:xfrm>
                    <a:prstGeom prst="rect"/>
                  </pic:spPr>
                </pic:pic>
              </a:graphicData>
            </a:graphic>
          </wp:inline>
        </w:drawing>
      </w:r>
    </w:p>
    <w:p>
      <w:r>
        <w:rPr>
          <w:i/>
        </w:rPr>
        <w:t>(A) Heatmap of mean composite scores by pathway and immune phase. (B) Number of targets per functional pathway.</w:t>
      </w:r>
    </w:p>
    <w:p/>
    <w:p>
      <w:r>
        <w:rPr>
          <w:b/>
        </w:rPr>
        <w:t>Figure 3: Compound Potency Profile by Target</w:t>
      </w:r>
    </w:p>
    <w:p>
      <w:pPr>
        <w:jc w:val="center"/>
      </w:pPr>
      <w:r>
        <w:drawing>
          <wp:inline xmlns:a="http://schemas.openxmlformats.org/drawingml/2006/main" xmlns:pic="http://schemas.openxmlformats.org/drawingml/2006/picture">
            <wp:extent cx="5029200" cy="3364606"/>
            <wp:docPr id="5" name="Picture 5"/>
            <wp:cNvGraphicFramePr>
              <a:graphicFrameLocks noChangeAspect="1"/>
            </wp:cNvGraphicFramePr>
            <a:graphic>
              <a:graphicData uri="http://schemas.openxmlformats.org/drawingml/2006/picture">
                <pic:pic>
                  <pic:nvPicPr>
                    <pic:cNvPr id="0" name="figure3_target_potency.png"/>
                    <pic:cNvPicPr/>
                  </pic:nvPicPr>
                  <pic:blipFill>
                    <a:blip r:embed="rId13"/>
                    <a:stretch>
                      <a:fillRect/>
                    </a:stretch>
                  </pic:blipFill>
                  <pic:spPr>
                    <a:xfrm>
                      <a:off x="0" y="0"/>
                      <a:ext cx="5029200" cy="3364606"/>
                    </a:xfrm>
                    <a:prstGeom prst="rect"/>
                  </pic:spPr>
                </pic:pic>
              </a:graphicData>
            </a:graphic>
          </wp:inline>
        </w:drawing>
      </w:r>
    </w:p>
    <w:p>
      <w:r>
        <w:rPr>
          <w:i/>
        </w:rPr>
        <w:t>Maximum pChEMBL values for top 15 targets. Red dashed line = 1 µM threshold; green dashed line = 10 nM threshold.</w:t>
      </w:r>
    </w:p>
    <w:p>
      <w:r>
        <w:br w:type="page"/>
      </w:r>
    </w:p>
    <w:p>
      <w:pPr>
        <w:pStyle w:val="Heading1"/>
      </w:pPr>
      <w:r>
        <w:t>4. DISCUSSION</w:t>
      </w:r>
    </w:p>
    <w:p>
      <w:r>
        <w:t>This study presents a systematic computational approach for identifying phase-specific host-directed therapy candidates in sepsis. By integrating transcriptomic signatures from multiple independent cohorts with comprehensive druggability assessments and clinical trial validation data, we prioritized 60 host targets and identified 37 clinically advanced compounds, including 27 FDA-approved drugs suitable for immediate repurposing through clinical trials.</w:t>
      </w:r>
    </w:p>
    <w:p>
      <w:r>
        <w:t>The primacy of IL-6 pathway targets (IL6, IL6R, JAK2, STAT3) as top-ranked candidates aligns with and is strongly validated by the landmark RECOVERY and REMAP-CAP clinical trials. These studies established that Tocilizumab administration to hospitalized COVID-19 patients with hypoxia and elevated inflammatory markers significantly reduces 28-day mortality and progression to invasive mechanical ventilation.</w:t>
      </w:r>
      <w:r>
        <w:rPr>
          <w:vertAlign w:val="superscript"/>
        </w:rPr>
        <w:t>29,30</w:t>
      </w:r>
      <w:r>
        <w:t xml:space="preserve"> Importantly, severe COVID-19 and bacterial sepsis share fundamental immunopathological mechanisms including cytokine storm physiology, making IL-6 pathway inhibition a high-priority translational target.</w:t>
      </w:r>
      <w:r>
        <w:rPr>
          <w:vertAlign w:val="superscript"/>
        </w:rPr>
        <w:t>33</w:t>
      </w:r>
      <w:r>
        <w:t xml:space="preserve"> Our computational pipeline independently identified this pathway as the top priority, providing external validation of the methodological approach.</w:t>
      </w:r>
    </w:p>
    <w:p>
      <w:r>
        <w:t>The high ranking of NLRP3 inflammasome components (NLRP3, CASP1, GSDMD) reflects emerging evidence that pyroptosis—a highly inflammatory form of programmed cell death mediated by gasdermin D pore formation—represents a critical driver of early sepsis pathophysiology. NLRP3 activation leads to massive release of IL-1β and IL-18, potent pro-inflammatory cytokines that amplify the cytokine storm cascade.</w:t>
      </w:r>
      <w:r>
        <w:rPr>
          <w:vertAlign w:val="superscript"/>
        </w:rPr>
        <w:t>31</w:t>
      </w:r>
      <w:r>
        <w:t xml:space="preserve"> MCC950, a potent and selective NLRP3 inhibitor, demonstrated efficacy in multiple preclinical sepsis models by reducing inflammatory cytokine release and improving survival. Colchicine, which indirectly disrupts NLRP3 inflammasome assembly through microtubule inhibition, represents an immediately accessible and inexpensive repurposing candidate with established safety.</w:t>
      </w:r>
    </w:p>
    <w:p>
      <w:r>
        <w:t>The identification of immune checkpoint molecules (PD-1, PD-L1, CTLA-4, TIM-3, LAG-3) as priority late-phase targets addresses the critical and underappreciated treatment gap in immunosuppressive sepsis. Multiple independent studies have documented profound T-cell exhaustion in sepsis survivors, with elevated PD-1 and PD-L1 expression on circulating lymphocytes and monocytes correlating with increased risk of secondary nosocomial infections and mortality.</w:t>
      </w:r>
      <w:r>
        <w:rPr>
          <w:vertAlign w:val="superscript"/>
        </w:rPr>
        <w:t>34</w:t>
      </w:r>
      <w:r>
        <w:t xml:space="preserve"> The Phase 1b randomized trial of Nivolumab (anti-PD-1) in septic patients provided crucial proof-of-concept evidence, demonstrating that checkpoint inhibition can safely restore immune function without triggering harmful cytokine release.</w:t>
      </w:r>
      <w:r>
        <w:rPr>
          <w:vertAlign w:val="superscript"/>
        </w:rPr>
        <w:t>32</w:t>
      </w:r>
      <w:r/>
    </w:p>
    <w:p>
      <w:r>
        <w:t>The temporal stratification of targets by immune phase represents a key methodological innovation that addresses the fundamental reason for historical clinical trial failures in sepsis. Anti-inflammatory agents targeting early-phase pathways (IL-6, TLR4, NLRP3) require administration within the first 24-48 hours from sepsis recognition, while immunostimulatory agents for late-phase targets (PD-1, GM-CSF, IL-7) should be reserved for patients demonstrating biomarker evidence of immunosuppression beyond 72-96 hours. Practical biomarker-guided patient selection using monocyte HLA-DR expression or IL-10/TNF ratio could enable precision timing of phase-specific interventions.</w:t>
      </w:r>
      <w:r>
        <w:rPr>
          <w:vertAlign w:val="superscript"/>
        </w:rPr>
        <w:t>35</w:t>
      </w:r>
      <w:r/>
    </w:p>
    <w:p>
      <w:pPr>
        <w:pStyle w:val="Heading2"/>
      </w:pPr>
      <w:r>
        <w:t>4.1 Limitations</w:t>
      </w:r>
    </w:p>
    <w:p>
      <w:r>
        <w:t>This study has several important limitations that warrant discussion. First, computational predictions require prospective clinical validation before therapeutic application. Second, the binary classification of targets into early versus late phase represents a simplification of the continuous and dynamic spectrum of sepsis immune dysregulation. Third, heterogeneity in sepsis etiology (Gram-positive versus Gram-negative, source of infection, host comorbidities) may differentially affect target relevance. Fourth, optimal biomarkers for real-time immune phase classification and patient stratification require prospective identification and validation studies.</w:t>
      </w:r>
    </w:p>
    <w:p>
      <w:pPr>
        <w:pStyle w:val="Heading2"/>
      </w:pPr>
      <w:r>
        <w:t>4.2 Clinical Translation Priorities</w:t>
      </w:r>
    </w:p>
    <w:p>
      <w:r>
        <w:t>Based on composite prioritization scores and existing clinical evidence, we propose three priority translation tracks: (1) Cytokine storm track: Randomized trial of Tocilizumab or Anakinra in early bacterial sepsis with elevated IL-6 levels; (2) Inflammasome track: Rapid repurposing trial of Colchicine in early sepsis with evidence of inflammasome activation; (3) Checkpoint track: Biomarker-guided trial of low-dose Nivolumab in late immunosuppressive sepsis with reduced monocyte HLA-DR expression.</w:t>
      </w:r>
    </w:p>
    <w:p>
      <w:pPr>
        <w:pStyle w:val="Heading1"/>
      </w:pPr>
      <w:r>
        <w:t>5. CONCLUSIONS</w:t>
      </w:r>
    </w:p>
    <w:p>
      <w:r>
        <w:t>This integrated computational study identifies IL-6, NLRP3, and PD-1 as priority phase-specific host-directed therapy targets for sepsis treatment. The availability of FDA-approved drugs including Tocilizumab, Baricitinib, Anakinra, and Colchicine with established safety profiles provides clear pathways for rapid clinical translation through repurposing trials. Biomarker-guided, phase-specific immunotherapy that matches therapeutic mechanism to the patient's current immunological state represents the most promising strategy to address the longstanding and critical sepsis treatment gap.</w:t>
      </w:r>
    </w:p>
    <w:p>
      <w:r>
        <w:br w:type="page"/>
      </w:r>
    </w:p>
    <w:p>
      <w:pPr>
        <w:pStyle w:val="Heading1"/>
      </w:pPr>
      <w:r>
        <w:t>ACKNOWLEDGEMENTS</w:t>
      </w:r>
    </w:p>
    <w:p>
      <w:r>
        <w:t>The author acknowledges the ChEMBL team at EMBL-EBI for providing comprehensive compound bioactivity data, the Open Targets Platform consortium for druggability assessments, the NCBI GEO database for hosting transcriptomic datasets, and the MARS Consortium investigators for generating high-quality sepsis transcriptomic resources.</w:t>
      </w:r>
    </w:p>
    <w:p/>
    <w:p>
      <w:r>
        <w:rPr>
          <w:b/>
        </w:rPr>
        <w:t xml:space="preserve">Conflicts of Interest: </w:t>
      </w:r>
      <w:r>
        <w:t>The author declares no conflicts of interest relevant to this work.</w:t>
      </w:r>
    </w:p>
    <w:p>
      <w:r>
        <w:rPr>
          <w:b/>
        </w:rPr>
        <w:t xml:space="preserve">Funding: </w:t>
      </w:r>
      <w:r>
        <w:t>No external funding was received for this study.</w:t>
      </w:r>
    </w:p>
    <w:p>
      <w:r>
        <w:rPr>
          <w:b/>
        </w:rPr>
        <w:t xml:space="preserve">Ethics Statement: </w:t>
      </w:r>
      <w:r>
        <w:t>This computational study used only publicly available, de-identified data from the Gene Expression Omnibus database. No human subjects were directly involved, and no ethics approval was required.</w:t>
      </w:r>
    </w:p>
    <w:p>
      <w:r>
        <w:rPr>
          <w:b/>
        </w:rPr>
        <w:t xml:space="preserve">Data Availability: </w:t>
      </w:r>
      <w:r>
        <w:t>All data, analysis code, and reproducibility documentation are freely available at: https://github.com/hssling/Sepsis_drug_discovery</w:t>
      </w:r>
    </w:p>
    <w:p>
      <w:r>
        <w:rPr>
          <w:b/>
        </w:rPr>
        <w:t xml:space="preserve">AI Disclosure: </w:t>
      </w:r>
      <w:r>
        <w:t>AI tools were used for code development, literature synthesis, and manuscript drafting with full author oversight and verification.</w:t>
      </w:r>
    </w:p>
    <w:p>
      <w:r>
        <w:br w:type="page"/>
      </w:r>
    </w:p>
    <w:p>
      <w:pPr>
        <w:pStyle w:val="Heading1"/>
      </w:pPr>
      <w:r>
        <w:t>REFERENCES</w:t>
      </w:r>
    </w:p>
    <w:p>
      <w:pPr>
        <w:ind w:hanging="360" w:left="360"/>
      </w:pPr>
      <w:r>
        <w:rPr>
          <w:b/>
        </w:rPr>
        <w:t xml:space="preserve">1. </w:t>
      </w:r>
      <w:r>
        <w:t>Singer M, Deutschman CS, Seymour CW, et al. The Third International Consensus Definitions for Sepsis and Septic Shock (Sepsis-3). JAMA 2016;315(8):801-810. PMID: 26903338</w:t>
      </w:r>
    </w:p>
    <w:p>
      <w:pPr>
        <w:ind w:hanging="360" w:left="360"/>
      </w:pPr>
      <w:r>
        <w:rPr>
          <w:b/>
        </w:rPr>
        <w:t xml:space="preserve">2. </w:t>
      </w:r>
      <w:r>
        <w:t>Angus DC, van der Poll T. Severe sepsis and septic shock. N Engl J Med 2013;369(9):840-851. PMID: 23984731</w:t>
      </w:r>
    </w:p>
    <w:p>
      <w:pPr>
        <w:ind w:hanging="360" w:left="360"/>
      </w:pPr>
      <w:r>
        <w:rPr>
          <w:b/>
        </w:rPr>
        <w:t xml:space="preserve">3. </w:t>
      </w:r>
      <w:r>
        <w:t>Rudd KE, Johnson SC, Agesa KM, et al. Global, regional, and national sepsis incidence and mortality, 1990-2017. Lancet 2020;395(10219):200-211. PMID: 31954465</w:t>
      </w:r>
    </w:p>
    <w:p>
      <w:pPr>
        <w:ind w:hanging="360" w:left="360"/>
      </w:pPr>
      <w:r>
        <w:rPr>
          <w:b/>
        </w:rPr>
        <w:t xml:space="preserve">4. </w:t>
      </w:r>
      <w:r>
        <w:t>Marshall JC. Why have clinical trials in sepsis failed? Trends Mol Med 2014;20(4):195-203. PMID: 24581450</w:t>
      </w:r>
    </w:p>
    <w:p>
      <w:pPr>
        <w:ind w:hanging="360" w:left="360"/>
      </w:pPr>
      <w:r>
        <w:rPr>
          <w:b/>
        </w:rPr>
        <w:t xml:space="preserve">5. </w:t>
      </w:r>
      <w:r>
        <w:t>Hotchkiss RS, Moldawer LL, Opal SM, et al. Sepsis and septic shock. Nat Rev Dis Primers 2016;2:16045. PMID: 28117397</w:t>
      </w:r>
    </w:p>
    <w:p>
      <w:pPr>
        <w:ind w:hanging="360" w:left="360"/>
      </w:pPr>
      <w:r>
        <w:rPr>
          <w:b/>
        </w:rPr>
        <w:t xml:space="preserve">6. </w:t>
      </w:r>
      <w:r>
        <w:t>Delano MJ, Ward PA. The immune system role in sepsis progression, resolution, and long-term outcome. Immunol Rev 2016;274(1):330-353. PMID: 27782333</w:t>
      </w:r>
    </w:p>
    <w:p>
      <w:pPr>
        <w:ind w:hanging="360" w:left="360"/>
      </w:pPr>
      <w:r>
        <w:rPr>
          <w:b/>
        </w:rPr>
        <w:t xml:space="preserve">7. </w:t>
      </w:r>
      <w:r>
        <w:t>Chousterman BG, Swirski FK, Weber GF. Cytokine storm and sepsis disease pathogenesis. Semin Immunopathol 2017;39(5):517-528. PMID: 28555385</w:t>
      </w:r>
    </w:p>
    <w:p>
      <w:pPr>
        <w:ind w:hanging="360" w:left="360"/>
      </w:pPr>
      <w:r>
        <w:rPr>
          <w:b/>
        </w:rPr>
        <w:t xml:space="preserve">8. </w:t>
      </w:r>
      <w:r>
        <w:t>Andersson U, Tracey KJ. HMGB1 is a therapeutic target for sterile inflammation and infection. Annu Rev Immunol 2011;29:139-162. PMID: 21219181</w:t>
      </w:r>
    </w:p>
    <w:p>
      <w:pPr>
        <w:ind w:hanging="360" w:left="360"/>
      </w:pPr>
      <w:r>
        <w:rPr>
          <w:b/>
        </w:rPr>
        <w:t xml:space="preserve">9. </w:t>
      </w:r>
      <w:r>
        <w:t>Boomer JS, To K, Chang KC, et al. Immunosuppression in patients who die of sepsis and multiple organ failure. JAMA 2011;306(23):2594-2605. PMID: 22187279</w:t>
      </w:r>
    </w:p>
    <w:p>
      <w:pPr>
        <w:ind w:hanging="360" w:left="360"/>
      </w:pPr>
      <w:r>
        <w:rPr>
          <w:b/>
        </w:rPr>
        <w:t xml:space="preserve">10. </w:t>
      </w:r>
      <w:r>
        <w:t>Hotchkiss RS, Monneret G, Payen D. Sepsis-induced immunosuppression: from cellular dysfunctions to immunotherapy. Nat Rev Immunol 2013;13(12):862-874. PMID: 24232462</w:t>
      </w:r>
    </w:p>
    <w:p>
      <w:pPr>
        <w:ind w:hanging="360" w:left="360"/>
      </w:pPr>
      <w:r>
        <w:rPr>
          <w:b/>
        </w:rPr>
        <w:t xml:space="preserve">11. </w:t>
      </w:r>
      <w:r>
        <w:t>van der Poll T, van de Veerdonk FL, Scicluna BP, Netea MG. The immunopathology of sepsis and potential therapeutic targets. Nat Rev Immunol 2017;17(7):407-420. PMID: 28436424</w:t>
      </w:r>
    </w:p>
    <w:p>
      <w:pPr>
        <w:ind w:hanging="360" w:left="360"/>
      </w:pPr>
      <w:r>
        <w:rPr>
          <w:b/>
        </w:rPr>
        <w:t xml:space="preserve">12. </w:t>
      </w:r>
      <w:r>
        <w:t>Opal SM, Laterre PF, Francois B, et al. Effect of eritoran on mortality in patients with severe sepsis: the ACCESS randomized trial. JAMA 2013;309(11):1154-1162. PMID: 23512062</w:t>
      </w:r>
    </w:p>
    <w:p>
      <w:pPr>
        <w:ind w:hanging="360" w:left="360"/>
      </w:pPr>
      <w:r>
        <w:rPr>
          <w:b/>
        </w:rPr>
        <w:t xml:space="preserve">13. </w:t>
      </w:r>
      <w:r>
        <w:t>Reinhart K, Karzai W. Anti-tumor necrosis factor therapy in sepsis: update on clinical trials and lessons learned. Crit Care Med 2001;29(7 Suppl):S121-S125. PMID: 11445746</w:t>
      </w:r>
    </w:p>
    <w:p>
      <w:pPr>
        <w:ind w:hanging="360" w:left="360"/>
      </w:pPr>
      <w:r>
        <w:rPr>
          <w:b/>
        </w:rPr>
        <w:t xml:space="preserve">14. </w:t>
      </w:r>
      <w:r>
        <w:t>Stanski NL, Wong HR. Prognostic and predictive enrichment in sepsis. Nat Rev Nephrol 2020;16(1):20-31. PMID: 31511659</w:t>
      </w:r>
    </w:p>
    <w:p>
      <w:pPr>
        <w:ind w:hanging="360" w:left="360"/>
      </w:pPr>
      <w:r>
        <w:rPr>
          <w:b/>
        </w:rPr>
        <w:t xml:space="preserve">15. </w:t>
      </w:r>
      <w:r>
        <w:t>Kaufmann SHE, Dorhoi A, Hotchkiss RS, Bartenschlager R. Host-directed therapies for bacterial and viral infections. Nat Rev Drug Discov 2018;17(1):35-56. PMID: 28935918</w:t>
      </w:r>
    </w:p>
    <w:p>
      <w:pPr>
        <w:ind w:hanging="360" w:left="360"/>
      </w:pPr>
      <w:r>
        <w:rPr>
          <w:b/>
        </w:rPr>
        <w:t xml:space="preserve">16. </w:t>
      </w:r>
      <w:r>
        <w:t>Wallis RS, Hafner R. Advancing host-directed therapy for tuberculosis. Nat Rev Immunol 2015;15(4):255-263. PMID: 25765201</w:t>
      </w:r>
    </w:p>
    <w:p>
      <w:pPr>
        <w:ind w:hanging="360" w:left="360"/>
      </w:pPr>
      <w:r>
        <w:rPr>
          <w:b/>
        </w:rPr>
        <w:t xml:space="preserve">17. </w:t>
      </w:r>
      <w:r>
        <w:t>Paludan SR, Mogensen TH. Innate immunological pathways in COVID-19 pathogenesis. Sci Immunol 2022;7(67):eabm5505. PMID: 34939793</w:t>
      </w:r>
    </w:p>
    <w:p>
      <w:pPr>
        <w:ind w:hanging="360" w:left="360"/>
      </w:pPr>
      <w:r>
        <w:rPr>
          <w:b/>
        </w:rPr>
        <w:t xml:space="preserve">18. </w:t>
      </w:r>
      <w:r>
        <w:t>RECOVERY Collaborative Group. Tocilizumab in patients admitted to hospital with COVID-19 (RECOVERY). Lancet 2021;397(10285):1637-1645. PMID: 33933206</w:t>
      </w:r>
    </w:p>
    <w:p>
      <w:pPr>
        <w:ind w:hanging="360" w:left="360"/>
      </w:pPr>
      <w:r>
        <w:rPr>
          <w:b/>
        </w:rPr>
        <w:t xml:space="preserve">19. </w:t>
      </w:r>
      <w:r>
        <w:t>Kalil AC, Patterson TF, Mehta AK, et al. Baricitinib plus remdesivir for hospitalized adults with COVID-19. N Engl J Med 2021;384(9):795-807. PMID: 33306283</w:t>
      </w:r>
    </w:p>
    <w:p>
      <w:pPr>
        <w:ind w:hanging="360" w:left="360"/>
      </w:pPr>
      <w:r>
        <w:rPr>
          <w:b/>
        </w:rPr>
        <w:t xml:space="preserve">20. </w:t>
      </w:r>
      <w:r>
        <w:t>Wilkinson MD, Dumontier M, Aalbersberg IJ, et al. The FAIR Guiding Principles for scientific data management and stewardship. Sci Data 2016;3:160018. PMID: 26978244</w:t>
      </w:r>
    </w:p>
    <w:p>
      <w:pPr>
        <w:ind w:hanging="360" w:left="360"/>
      </w:pPr>
      <w:r>
        <w:rPr>
          <w:b/>
        </w:rPr>
        <w:t xml:space="preserve">21. </w:t>
      </w:r>
      <w:r>
        <w:t>Barrett T, Wilhite SE, Ledoux P, et al. NCBI GEO: archive for functional genomics data sets--update. Nucleic Acids Res 2013;41(D1):D991-995. PMID: 23193258</w:t>
      </w:r>
    </w:p>
    <w:p>
      <w:pPr>
        <w:ind w:hanging="360" w:left="360"/>
      </w:pPr>
      <w:r>
        <w:rPr>
          <w:b/>
        </w:rPr>
        <w:t xml:space="preserve">22. </w:t>
      </w:r>
      <w:r>
        <w:t>Baghela A, Pena OM, Lee AH, et al. Predicting sepsis severity at first clinical presentation. EBioMedicine 2022;75:103776. PMID: 35026476</w:t>
      </w:r>
    </w:p>
    <w:p>
      <w:pPr>
        <w:ind w:hanging="360" w:left="360"/>
      </w:pPr>
      <w:r>
        <w:rPr>
          <w:b/>
        </w:rPr>
        <w:t xml:space="preserve">23. </w:t>
      </w:r>
      <w:r>
        <w:t>Scicluna BP, van Vught LA, Zwinderman AH, et al. Classification of patients with sepsis according to blood genomic endotype. Lancet Respir Med 2017;5(10):816-826. PMID: 28864056</w:t>
      </w:r>
    </w:p>
    <w:p>
      <w:pPr>
        <w:ind w:hanging="360" w:left="360"/>
      </w:pPr>
      <w:r>
        <w:rPr>
          <w:b/>
        </w:rPr>
        <w:t xml:space="preserve">24. </w:t>
      </w:r>
      <w:r>
        <w:t>Davenport EE, Burnham KL, Radhakrishnan J, et al. Genomic landscape of the individual host response and outcomes in sepsis. Lancet Respir Med 2016;4(4):259-271. PMID: 26917434</w:t>
      </w:r>
    </w:p>
    <w:p>
      <w:pPr>
        <w:ind w:hanging="360" w:left="360"/>
      </w:pPr>
      <w:r>
        <w:rPr>
          <w:b/>
        </w:rPr>
        <w:t xml:space="preserve">25. </w:t>
      </w:r>
      <w:r>
        <w:t>Wong HR, Cvijanovich NZ, Anas N, et al. Developing a clinically feasible personalized medicine approach to pediatric septic shock. Am J Respir Crit Care Med 2015;191(3):309-315. PMID: 25489881</w:t>
      </w:r>
    </w:p>
    <w:p>
      <w:pPr>
        <w:ind w:hanging="360" w:left="360"/>
      </w:pPr>
      <w:r>
        <w:rPr>
          <w:b/>
        </w:rPr>
        <w:t xml:space="preserve">26. </w:t>
      </w:r>
      <w:r>
        <w:t>Wu C, Jin X, Tsueng G, Afrasiabi C, Su AI. BioGPS: building your own mash-up of gene annotations and expression profiles. Nucleic Acids Res 2016;44(D1):D313-316. PMID: 26578587</w:t>
      </w:r>
    </w:p>
    <w:p>
      <w:pPr>
        <w:ind w:hanging="360" w:left="360"/>
      </w:pPr>
      <w:r>
        <w:rPr>
          <w:b/>
        </w:rPr>
        <w:t xml:space="preserve">27. </w:t>
      </w:r>
      <w:r>
        <w:t>Ochoa D, Hercules A, Carmona M, et al. Open Targets Platform: supporting systematic drug-target identification and prioritisation. Nucleic Acids Res 2021;49(D1):D1302-D1310. PMID: 33196847</w:t>
      </w:r>
    </w:p>
    <w:p>
      <w:pPr>
        <w:ind w:hanging="360" w:left="360"/>
      </w:pPr>
      <w:r>
        <w:rPr>
          <w:b/>
        </w:rPr>
        <w:t xml:space="preserve">28. </w:t>
      </w:r>
      <w:r>
        <w:t>Zdrazil B, Felix E, Hunter F, et al. The ChEMBL Database in 2023: a drug discovery platform spanning multiple bioactivity data types and time periods. Nucleic Acids Res 2024;52(D1):D1180-D1192. PMID: 37933841</w:t>
      </w:r>
    </w:p>
    <w:p>
      <w:pPr>
        <w:ind w:hanging="360" w:left="360"/>
      </w:pPr>
      <w:r>
        <w:rPr>
          <w:b/>
        </w:rPr>
        <w:t xml:space="preserve">29. </w:t>
      </w:r>
      <w:r>
        <w:t>Gordon AC, Mouncey PR, Al-Beidh F, et al. Interleukin-6 Receptor Antagonists in Critically Ill Patients with Covid-19. N Engl J Med 2021;384(16):1491-1502. PMID: 33631065</w:t>
      </w:r>
    </w:p>
    <w:p>
      <w:pPr>
        <w:ind w:hanging="360" w:left="360"/>
      </w:pPr>
      <w:r>
        <w:rPr>
          <w:b/>
        </w:rPr>
        <w:t xml:space="preserve">30. </w:t>
      </w:r>
      <w:r>
        <w:t>REMAP-CAP Investigators. Effect of Hydrocortisone on Mortality and Organ Support in Patients With Severe COVID-19. JAMA 2020;324(13):1317-1329. PMID: 32876697</w:t>
      </w:r>
    </w:p>
    <w:p>
      <w:pPr>
        <w:ind w:hanging="360" w:left="360"/>
      </w:pPr>
      <w:r>
        <w:rPr>
          <w:b/>
        </w:rPr>
        <w:t xml:space="preserve">31. </w:t>
      </w:r>
      <w:r>
        <w:t>Swanson KV, Deng M, Ting JP. The NLRP3 inflammasome: molecular activation and regulation to therapeutics. Nat Rev Immunol 2019;19(8):477-489. PMID: 31036962</w:t>
      </w:r>
    </w:p>
    <w:p>
      <w:pPr>
        <w:ind w:hanging="360" w:left="360"/>
      </w:pPr>
      <w:r>
        <w:rPr>
          <w:b/>
        </w:rPr>
        <w:t xml:space="preserve">32. </w:t>
      </w:r>
      <w:r>
        <w:t>Hotchkiss RS, Colston E, Yende S, et al. Immune Checkpoint Inhibition in Sepsis: A Phase 1b Randomized Study to Evaluate the Safety, Tolerability, Pharmacokinetics, and Pharmacodynamics of Nivolumab. Intensive Care Med 2019;45(10):1360-1371. PMID: 31446430</w:t>
      </w:r>
    </w:p>
    <w:p>
      <w:pPr>
        <w:ind w:hanging="360" w:left="360"/>
      </w:pPr>
      <w:r>
        <w:rPr>
          <w:b/>
        </w:rPr>
        <w:t xml:space="preserve">33. </w:t>
      </w:r>
      <w:r>
        <w:t>van der Poll T, Opal SM. Host-pathogen interactions in sepsis. Lancet Infect Dis 2008;8(1):32-43. PMID: 18063412</w:t>
      </w:r>
    </w:p>
    <w:p>
      <w:pPr>
        <w:ind w:hanging="360" w:left="360"/>
      </w:pPr>
      <w:r>
        <w:rPr>
          <w:b/>
        </w:rPr>
        <w:t xml:space="preserve">34. </w:t>
      </w:r>
      <w:r>
        <w:t>Patera AC, Drewry AM, Chang K, et al. Frontline Science: Defects in immune function in patients with sepsis are associated with PD-1 or PD-L1 expression. J Leukoc Biol 2016;100(6):1239-1254. PMID: 27671246</w:t>
      </w:r>
    </w:p>
    <w:p>
      <w:pPr>
        <w:ind w:hanging="360" w:left="360"/>
      </w:pPr>
      <w:r>
        <w:rPr>
          <w:b/>
        </w:rPr>
        <w:t xml:space="preserve">35. </w:t>
      </w:r>
      <w:r>
        <w:t>Prescott HC, Angus DC. Enhancing Recovery From Sepsis: A Review. JAMA 2018;319(1):62-75. PMID: 29297082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