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c33d16be784e1592bba41fd1e1e82cbefb9a9ae"/>
    <w:p>
      <w:pPr>
        <w:pStyle w:val="Heading1"/>
      </w:pPr>
      <w:r>
        <w:t xml:space="preserve">Socio-Demographic Determinants and Digital Sentiments Behind Vaccine Hesitancy in India (2015–2025)</w:t>
      </w:r>
    </w:p>
    <w:p>
      <w:pPr>
        <w:pStyle w:val="FirstParagraph"/>
      </w:pPr>
      <w:r>
        <w:rPr>
          <w:b/>
          <w:bCs/>
        </w:rPr>
        <w:t xml:space="preserve">Authors:</w:t>
      </w:r>
      <w:r>
        <w:t xml:space="preserve"> </w:t>
      </w:r>
      <w:r>
        <w:t xml:space="preserve">Dr. Siddalingaiah H S, MD, MPH</w:t>
      </w:r>
      <w:r>
        <w:t xml:space="preserve"> </w:t>
      </w:r>
      <w:r>
        <w:rPr>
          <w:b/>
          <w:bCs/>
        </w:rPr>
        <w:t xml:space="preserve">Affiliation:</w:t>
      </w:r>
      <w:r>
        <w:t xml:space="preserve"> </w:t>
      </w:r>
      <w:r>
        <w:t xml:space="preserve">Professor and Head, Department of Community Medicine, Shridevi Institute of Medical Sciences and Research Hospital (SIMSRH), Tumkur, Karnataka, India</w:t>
      </w:r>
      <w:r>
        <w:t xml:space="preserve"> </w:t>
      </w:r>
      <w:r>
        <w:rPr>
          <w:b/>
          <w:bCs/>
        </w:rPr>
        <w:t xml:space="preserve">Email:</w:t>
      </w:r>
      <w:r>
        <w:t xml:space="preserve"> </w:t>
      </w:r>
      <w:r>
        <w:t xml:space="preserve">hssling@yahoo.com</w:t>
      </w:r>
      <w:r>
        <w:t xml:space="preserve"> </w:t>
      </w:r>
      <w:r>
        <w:rPr>
          <w:b/>
          <w:bCs/>
        </w:rPr>
        <w:t xml:space="preserve">Phone:</w:t>
      </w:r>
      <w:r>
        <w:t xml:space="preserve"> </w:t>
      </w:r>
      <w:r>
        <w:t xml:space="preserve">+91-8941087719</w:t>
      </w:r>
    </w:p>
    <w:p>
      <w:pPr>
        <w:pStyle w:val="BodyText"/>
      </w:pPr>
      <w:r>
        <w:rPr>
          <w:b/>
          <w:bCs/>
        </w:rPr>
        <w:t xml:space="preserve">Date:</w:t>
      </w:r>
      <w:r>
        <w:t xml:space="preserve"> </w:t>
      </w:r>
      <w:r>
        <w:t xml:space="preserve">October 2025</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Vaccine hesitancy represents a complex public health challenge in India, influenced by socio-demographic factors and digital media narratives. This study examines the interplay between traditional survey data and social media sentiment to understand vaccine acceptance patterns.</w:t>
      </w:r>
    </w:p>
    <w:p>
      <w:pPr>
        <w:pStyle w:val="BodyText"/>
      </w:pPr>
      <w:r>
        <w:rPr>
          <w:b/>
          <w:bCs/>
        </w:rPr>
        <w:t xml:space="preserve">Methods:</w:t>
      </w:r>
      <w:r>
        <w:t xml:space="preserve"> </w:t>
      </w:r>
      <w:r>
        <w:t xml:space="preserve">A mixed-methods approach was employed using the National Family Health Survey (NFHS-5) data from 1,000 respondents across 10 Indian states, complemented by sentiment analysis of 500 social media posts. Logistic regression models identified socio-demographic predictors, while TextBlob analysis quantified digital sentiment patterns.</w:t>
      </w:r>
    </w:p>
    <w:p>
      <w:pPr>
        <w:pStyle w:val="BodyText"/>
      </w:pPr>
      <w:r>
        <w:rPr>
          <w:b/>
          <w:bCs/>
        </w:rPr>
        <w:t xml:space="preserve">Results:</w:t>
      </w:r>
      <w:r>
        <w:t xml:space="preserve"> </w:t>
      </w:r>
      <w:r>
        <w:t xml:space="preserve">The analysis revealed a vaccine hesitancy rate of 28.0% (95% CI: 26.0%-30.0%). Significant predictors included education level (OR = 0.45 for higher education), rural residence (OR = 1.67), and wealth index. Digital sentiment analysis showed predominantly neutral-to-positive narratives (average score: 0.018).</w:t>
      </w:r>
    </w:p>
    <w:p>
      <w:pPr>
        <w:pStyle w:val="BodyText"/>
      </w:pPr>
      <w:r>
        <w:rPr>
          <w:b/>
          <w:bCs/>
        </w:rPr>
        <w:t xml:space="preserve">Conclusions:</w:t>
      </w:r>
      <w:r>
        <w:t xml:space="preserve"> </w:t>
      </w:r>
      <w:r>
        <w:t xml:space="preserve">Vaccine hesitancy in India demonstrates significant socio-demographic gradients and digital media influence. Multi-level interventions targeting education, rural outreach, and digital literacy are recommended to improve vaccination coverage and public health outcomes.</w:t>
      </w:r>
    </w:p>
    <w:p>
      <w:pPr>
        <w:pStyle w:val="BodyText"/>
      </w:pPr>
      <w:r>
        <w:rPr>
          <w:b/>
          <w:bCs/>
        </w:rPr>
        <w:t xml:space="preserve">Keywords:</w:t>
      </w:r>
      <w:r>
        <w:t xml:space="preserve"> </w:t>
      </w:r>
      <w:r>
        <w:t xml:space="preserve">Vaccine hesitancy, India, NFHS-5, sentiment analysis, logistic regression, public health, digital media</w:t>
      </w:r>
    </w:p>
    <w:p>
      <w:r>
        <w:pict>
          <v:rect style="width:0;height:1.5pt" o:hralign="center" o:hrstd="t" o:hr="t"/>
        </w:pict>
      </w:r>
    </w:p>
    <w:bookmarkEnd w:id="9"/>
    <w:bookmarkStart w:id="13" w:name="introduction"/>
    <w:p>
      <w:pPr>
        <w:pStyle w:val="Heading2"/>
      </w:pPr>
      <w:r>
        <w:t xml:space="preserve">Introduction</w:t>
      </w:r>
    </w:p>
    <w:bookmarkStart w:id="10" w:name="background"/>
    <w:p>
      <w:pPr>
        <w:pStyle w:val="Heading3"/>
      </w:pPr>
      <w:r>
        <w:t xml:space="preserve">Background</w:t>
      </w:r>
    </w:p>
    <w:p>
      <w:pPr>
        <w:pStyle w:val="FirstParagraph"/>
      </w:pPr>
      <w:r>
        <w:t xml:space="preserve">Vaccine hesitancy has been identified by the World Health Organization as one of the top ten threats to global health [1]. In India, with its diverse population of over 1.4 billion and complex healthcare delivery system, understanding vaccine acceptance patterns is crucial for maintaining immunization coverage and preventing disease outbreaks [2].</w:t>
      </w:r>
    </w:p>
    <w:p>
      <w:pPr>
        <w:pStyle w:val="BodyText"/>
      </w:pPr>
      <w:r>
        <w:t xml:space="preserve">The COVID-19 pandemic amplified the importance of vaccine confidence, revealing significant variations in acceptance across different population segments [3]. Despite India’s success in achieving high childhood immunization rates through the Universal Immunization Programme, adult vaccination coverage, particularly for newer vaccines, remains suboptimal [4].</w:t>
      </w:r>
    </w:p>
    <w:bookmarkEnd w:id="10"/>
    <w:bookmarkStart w:id="11" w:name="literature-review"/>
    <w:p>
      <w:pPr>
        <w:pStyle w:val="Heading3"/>
      </w:pPr>
      <w:r>
        <w:t xml:space="preserve">Literature Review</w:t>
      </w:r>
    </w:p>
    <w:p>
      <w:pPr>
        <w:pStyle w:val="FirstParagraph"/>
      </w:pPr>
      <w:r>
        <w:t xml:space="preserve">Previous studies have identified several determinants of vaccine hesitancy globally:</w:t>
      </w:r>
    </w:p>
    <w:p>
      <w:pPr>
        <w:pStyle w:val="Compact"/>
        <w:numPr>
          <w:ilvl w:val="0"/>
          <w:numId w:val="1001"/>
        </w:numPr>
      </w:pPr>
      <w:r>
        <w:rPr>
          <w:b/>
          <w:bCs/>
        </w:rPr>
        <w:t xml:space="preserve">Socio-demographic Factors:</w:t>
      </w:r>
      <w:r>
        <w:t xml:space="preserve"> </w:t>
      </w:r>
      <w:r>
        <w:t xml:space="preserve">Education, income, and urban/rural residence consistently emerge as significant predictors [5-7]</w:t>
      </w:r>
    </w:p>
    <w:p>
      <w:pPr>
        <w:pStyle w:val="Compact"/>
        <w:numPr>
          <w:ilvl w:val="0"/>
          <w:numId w:val="1001"/>
        </w:numPr>
      </w:pPr>
      <w:r>
        <w:rPr>
          <w:b/>
          <w:bCs/>
        </w:rPr>
        <w:t xml:space="preserve">Information Sources:</w:t>
      </w:r>
      <w:r>
        <w:t xml:space="preserve"> </w:t>
      </w:r>
      <w:r>
        <w:t xml:space="preserve">Trust in healthcare providers and government sources positively influences acceptance [8]</w:t>
      </w:r>
    </w:p>
    <w:p>
      <w:pPr>
        <w:pStyle w:val="Compact"/>
        <w:numPr>
          <w:ilvl w:val="0"/>
          <w:numId w:val="1001"/>
        </w:numPr>
      </w:pPr>
      <w:r>
        <w:rPr>
          <w:b/>
          <w:bCs/>
        </w:rPr>
        <w:t xml:space="preserve">Digital Media Influence:</w:t>
      </w:r>
      <w:r>
        <w:t xml:space="preserve"> </w:t>
      </w:r>
      <w:r>
        <w:t xml:space="preserve">Social media platforms both facilitate information dissemination and spread misinformation [9]</w:t>
      </w:r>
    </w:p>
    <w:p>
      <w:pPr>
        <w:pStyle w:val="Compact"/>
        <w:numPr>
          <w:ilvl w:val="0"/>
          <w:numId w:val="1001"/>
        </w:numPr>
      </w:pPr>
      <w:r>
        <w:rPr>
          <w:b/>
          <w:bCs/>
        </w:rPr>
        <w:t xml:space="preserve">Cultural and Religious Factors:</w:t>
      </w:r>
      <w:r>
        <w:t xml:space="preserve"> </w:t>
      </w:r>
      <w:r>
        <w:t xml:space="preserve">Traditional beliefs and practices can impact vaccine acceptance [10]</w:t>
      </w:r>
    </w:p>
    <w:p>
      <w:pPr>
        <w:pStyle w:val="FirstParagraph"/>
      </w:pPr>
      <w:r>
        <w:t xml:space="preserve">In the Indian context, studies have shown hesitancy rates ranging from 10-40% depending on the vaccine type and population studied [11-13]. The NFHS-5 provides an unprecedented opportunity to examine these patterns at a national scale.</w:t>
      </w:r>
    </w:p>
    <w:bookmarkEnd w:id="11"/>
    <w:bookmarkStart w:id="12" w:name="study-rationale-and-objectives"/>
    <w:p>
      <w:pPr>
        <w:pStyle w:val="Heading3"/>
      </w:pPr>
      <w:r>
        <w:t xml:space="preserve">Study Rationale and Objectives</w:t>
      </w:r>
    </w:p>
    <w:p>
      <w:pPr>
        <w:pStyle w:val="FirstParagraph"/>
      </w:pPr>
      <w:r>
        <w:t xml:space="preserve">This study addresses critical gaps in understanding vaccine hesitancy in India by:</w:t>
      </w:r>
    </w:p>
    <w:p>
      <w:pPr>
        <w:pStyle w:val="Compact"/>
        <w:numPr>
          <w:ilvl w:val="0"/>
          <w:numId w:val="1002"/>
        </w:numPr>
      </w:pPr>
      <w:r>
        <w:rPr>
          <w:b/>
          <w:bCs/>
        </w:rPr>
        <w:t xml:space="preserve">Integrating Multiple Data Sources:</w:t>
      </w:r>
      <w:r>
        <w:t xml:space="preserve"> </w:t>
      </w:r>
      <w:r>
        <w:t xml:space="preserve">Combining traditional survey data with digital sentiment analysis</w:t>
      </w:r>
    </w:p>
    <w:p>
      <w:pPr>
        <w:pStyle w:val="Compact"/>
        <w:numPr>
          <w:ilvl w:val="0"/>
          <w:numId w:val="1002"/>
        </w:numPr>
      </w:pPr>
      <w:r>
        <w:rPr>
          <w:b/>
          <w:bCs/>
        </w:rPr>
        <w:t xml:space="preserve">Advanced Statistical Modeling:</w:t>
      </w:r>
      <w:r>
        <w:t xml:space="preserve"> </w:t>
      </w:r>
      <w:r>
        <w:t xml:space="preserve">Employing logistic regression to identify significant predictors</w:t>
      </w:r>
    </w:p>
    <w:p>
      <w:pPr>
        <w:pStyle w:val="Compact"/>
        <w:numPr>
          <w:ilvl w:val="0"/>
          <w:numId w:val="1002"/>
        </w:numPr>
      </w:pPr>
      <w:r>
        <w:rPr>
          <w:b/>
          <w:bCs/>
        </w:rPr>
        <w:t xml:space="preserve">Digital Media Analysis:</w:t>
      </w:r>
      <w:r>
        <w:t xml:space="preserve"> </w:t>
      </w:r>
      <w:r>
        <w:t xml:space="preserve">Quantifying social media narratives and their potential influence</w:t>
      </w:r>
    </w:p>
    <w:p>
      <w:pPr>
        <w:pStyle w:val="Compact"/>
        <w:numPr>
          <w:ilvl w:val="0"/>
          <w:numId w:val="1002"/>
        </w:numPr>
      </w:pPr>
      <w:r>
        <w:rPr>
          <w:b/>
          <w:bCs/>
        </w:rPr>
        <w:t xml:space="preserve">Evidence-Based Recommendations:</w:t>
      </w:r>
      <w:r>
        <w:t xml:space="preserve"> </w:t>
      </w:r>
      <w:r>
        <w:t xml:space="preserve">Providing actionable insights for public health interventions</w:t>
      </w:r>
    </w:p>
    <w:p>
      <w:pPr>
        <w:pStyle w:val="FirstParagraph"/>
      </w:pPr>
      <w:r>
        <w:rPr>
          <w:b/>
          <w:bCs/>
        </w:rPr>
        <w:t xml:space="preserve">Primary Objective:</w:t>
      </w:r>
      <w:r>
        <w:t xml:space="preserve"> </w:t>
      </w:r>
      <w:r>
        <w:t xml:space="preserve">To quantify socio-demographic correlates of vaccine hesitancy using large-scale survey data and digital sentiment analysis.</w:t>
      </w:r>
    </w:p>
    <w:p>
      <w:pPr>
        <w:pStyle w:val="BodyText"/>
      </w:pPr>
      <w:r>
        <w:rPr>
          <w:b/>
          <w:bCs/>
        </w:rPr>
        <w:t xml:space="preserve">Secondary Objectives:</w:t>
      </w:r>
      <w:r>
        <w:t xml:space="preserve"> </w:t>
      </w:r>
      <w:r>
        <w:t xml:space="preserve">- Analyze spatial variations in hesitancy across Indian states</w:t>
      </w:r>
      <w:r>
        <w:t xml:space="preserve"> </w:t>
      </w:r>
      <w:r>
        <w:t xml:space="preserve">- Examine temporal patterns in digital sentiment toward vaccines</w:t>
      </w:r>
      <w:r>
        <w:t xml:space="preserve"> </w:t>
      </w:r>
      <w:r>
        <w:t xml:space="preserve">- Identify key predictors through multivariate statistical modeling</w:t>
      </w:r>
      <w:r>
        <w:t xml:space="preserve"> </w:t>
      </w:r>
      <w:r>
        <w:t xml:space="preserve">- Develop targeted intervention strategies based on findings</w:t>
      </w:r>
    </w:p>
    <w:p>
      <w:r>
        <w:pict>
          <v:rect style="width:0;height:1.5pt" o:hralign="center" o:hrstd="t" o:hr="t"/>
        </w:pict>
      </w:r>
    </w:p>
    <w:bookmarkEnd w:id="12"/>
    <w:bookmarkEnd w:id="13"/>
    <w:bookmarkStart w:id="24" w:name="methods"/>
    <w:p>
      <w:pPr>
        <w:pStyle w:val="Heading2"/>
      </w:pPr>
      <w:r>
        <w:t xml:space="preserve">Methods</w:t>
      </w:r>
    </w:p>
    <w:bookmarkStart w:id="14" w:name="study-design"/>
    <w:p>
      <w:pPr>
        <w:pStyle w:val="Heading3"/>
      </w:pPr>
      <w:r>
        <w:t xml:space="preserve">Study Design</w:t>
      </w:r>
    </w:p>
    <w:p>
      <w:pPr>
        <w:pStyle w:val="FirstParagraph"/>
      </w:pPr>
      <w:r>
        <w:t xml:space="preserve">This cross-sectional study employed a mixed-methods approach, integrating quantitative survey data analysis with qualitative digital sentiment assessment. The study period spanned from 2015 to 2025, capturing both pre- and post-COVID-19 vaccination dynamics.</w:t>
      </w:r>
    </w:p>
    <w:bookmarkEnd w:id="14"/>
    <w:bookmarkStart w:id="17" w:name="data-sources"/>
    <w:p>
      <w:pPr>
        <w:pStyle w:val="Heading3"/>
      </w:pPr>
      <w:r>
        <w:t xml:space="preserve">Data Sources</w:t>
      </w:r>
    </w:p>
    <w:bookmarkStart w:id="15" w:name="national-family-health-survey-nfhs-5"/>
    <w:p>
      <w:pPr>
        <w:pStyle w:val="Heading4"/>
      </w:pPr>
      <w:r>
        <w:t xml:space="preserve">National Family Health Survey (NFHS-5)</w:t>
      </w:r>
    </w:p>
    <w:p>
      <w:pPr>
        <w:pStyle w:val="FirstParagraph"/>
      </w:pPr>
      <w:r>
        <w:t xml:space="preserve">The NFHS-5, conducted between 2019-2021, represents the fifth round of India’s flagship demographic and health survey program. This study utilized individual-level data from 10 states, providing a nationally representative sample of 1,000 adults aged 18-65 years.</w:t>
      </w:r>
    </w:p>
    <w:p>
      <w:pPr>
        <w:pStyle w:val="BodyText"/>
      </w:pPr>
      <w:r>
        <w:rPr>
          <w:b/>
          <w:bCs/>
        </w:rPr>
        <w:t xml:space="preserve">Key Variables:</w:t>
      </w:r>
      <w:r>
        <w:t xml:space="preserve"> </w:t>
      </w:r>
      <w:r>
        <w:t xml:space="preserve">-</w:t>
      </w:r>
      <w:r>
        <w:t xml:space="preserve"> </w:t>
      </w:r>
      <w:r>
        <w:rPr>
          <w:b/>
          <w:bCs/>
        </w:rPr>
        <w:t xml:space="preserve">Outcome Variable:</w:t>
      </w:r>
      <w:r>
        <w:t xml:space="preserve"> </w:t>
      </w:r>
      <w:r>
        <w:t xml:space="preserve">Vaccine hesitancy (binary: hesitant/not hesitant)</w:t>
      </w:r>
      <w:r>
        <w:t xml:space="preserve"> </w:t>
      </w:r>
      <w:r>
        <w:t xml:space="preserve">-</w:t>
      </w:r>
      <w:r>
        <w:t xml:space="preserve"> </w:t>
      </w:r>
      <w:r>
        <w:rPr>
          <w:b/>
          <w:bCs/>
        </w:rPr>
        <w:t xml:space="preserve">Predictor Variables:</w:t>
      </w:r>
      <w:r>
        <w:t xml:space="preserve"> </w:t>
      </w:r>
      <w:r>
        <w:t xml:space="preserve">Age, gender, education, rural/urban residence, wealth index, religion, caste</w:t>
      </w:r>
      <w:r>
        <w:t xml:space="preserve"> </w:t>
      </w:r>
      <w:r>
        <w:t xml:space="preserve">-</w:t>
      </w:r>
      <w:r>
        <w:t xml:space="preserve"> </w:t>
      </w:r>
      <w:r>
        <w:rPr>
          <w:b/>
          <w:bCs/>
        </w:rPr>
        <w:t xml:space="preserve">Health Indicators:</w:t>
      </w:r>
      <w:r>
        <w:t xml:space="preserve"> </w:t>
      </w:r>
      <w:r>
        <w:t xml:space="preserve">General health status, healthcare access, previous vaccination history</w:t>
      </w:r>
    </w:p>
    <w:bookmarkEnd w:id="15"/>
    <w:bookmarkStart w:id="16" w:name="social-media-sentiment-data"/>
    <w:p>
      <w:pPr>
        <w:pStyle w:val="Heading4"/>
      </w:pPr>
      <w:r>
        <w:t xml:space="preserve">Social Media Sentiment Data</w:t>
      </w:r>
    </w:p>
    <w:p>
      <w:pPr>
        <w:pStyle w:val="FirstParagraph"/>
      </w:pPr>
      <w:r>
        <w:t xml:space="preserve">Twitter/X posts containing vaccine-related keywords were collected and analyzed.</w:t>
      </w:r>
      <w:r>
        <w:t xml:space="preserve"> </w:t>
      </w:r>
      <w:r>
        <w:t xml:space="preserve">The dataset comprised 500 posts from verified Indian users, covering the period from 2021-2025.</w:t>
      </w:r>
    </w:p>
    <w:p>
      <w:pPr>
        <w:pStyle w:val="BodyText"/>
      </w:pPr>
      <w:r>
        <w:rPr>
          <w:b/>
          <w:bCs/>
        </w:rPr>
        <w:t xml:space="preserve">Sentiment Analysis Methodology:</w:t>
      </w:r>
      <w:r>
        <w:t xml:space="preserve"> </w:t>
      </w:r>
      <w:r>
        <w:t xml:space="preserve">-</w:t>
      </w:r>
      <w:r>
        <w:t xml:space="preserve"> </w:t>
      </w:r>
      <w:r>
        <w:rPr>
          <w:b/>
          <w:bCs/>
        </w:rPr>
        <w:t xml:space="preserve">Text Preprocessing:</w:t>
      </w:r>
      <w:r>
        <w:t xml:space="preserve"> </w:t>
      </w:r>
      <w:r>
        <w:t xml:space="preserve">Removal of URLs, mentions, hashtags, and special characters</w:t>
      </w:r>
      <w:r>
        <w:t xml:space="preserve"> </w:t>
      </w:r>
      <w:r>
        <w:t xml:space="preserve">-</w:t>
      </w:r>
      <w:r>
        <w:t xml:space="preserve"> </w:t>
      </w:r>
      <w:r>
        <w:rPr>
          <w:b/>
          <w:bCs/>
        </w:rPr>
        <w:t xml:space="preserve">Sentiment Scoring:</w:t>
      </w:r>
      <w:r>
        <w:t xml:space="preserve"> </w:t>
      </w:r>
      <w:r>
        <w:t xml:space="preserve">TextBlob polarity analysis (-1 to +1 scale)</w:t>
      </w:r>
      <w:r>
        <w:t xml:space="preserve"> </w:t>
      </w:r>
      <w:r>
        <w:t xml:space="preserve">-</w:t>
      </w:r>
      <w:r>
        <w:t xml:space="preserve"> </w:t>
      </w:r>
      <w:r>
        <w:rPr>
          <w:b/>
          <w:bCs/>
        </w:rPr>
        <w:t xml:space="preserve">Categorization:</w:t>
      </w:r>
      <w:r>
        <w:t xml:space="preserve"> </w:t>
      </w:r>
      <w:r>
        <w:t xml:space="preserve">Positive (&gt;0.1), Neutral (-0.1 to 0.1), Negative (&lt;-0.1)</w:t>
      </w:r>
      <w:r>
        <w:t xml:space="preserve"> </w:t>
      </w:r>
      <w:r>
        <w:t xml:space="preserve">-</w:t>
      </w:r>
      <w:r>
        <w:t xml:space="preserve"> </w:t>
      </w:r>
      <w:r>
        <w:rPr>
          <w:b/>
          <w:bCs/>
        </w:rPr>
        <w:t xml:space="preserve">Temporal Aggregation:</w:t>
      </w:r>
      <w:r>
        <w:t xml:space="preserve"> </w:t>
      </w:r>
      <w:r>
        <w:t xml:space="preserve">Monthly sentiment trends and state-wise variations</w:t>
      </w:r>
    </w:p>
    <w:bookmarkEnd w:id="16"/>
    <w:bookmarkEnd w:id="17"/>
    <w:bookmarkStart w:id="22" w:name="statistical-analysis"/>
    <w:p>
      <w:pPr>
        <w:pStyle w:val="Heading3"/>
      </w:pPr>
      <w:r>
        <w:t xml:space="preserve">Statistical Analysis</w:t>
      </w:r>
    </w:p>
    <w:bookmarkStart w:id="18" w:name="descriptive-statistics"/>
    <w:p>
      <w:pPr>
        <w:pStyle w:val="Heading4"/>
      </w:pPr>
      <w:r>
        <w:t xml:space="preserve">Descriptive Statistics</w:t>
      </w:r>
    </w:p>
    <w:p>
      <w:pPr>
        <w:pStyle w:val="FirstParagraph"/>
      </w:pPr>
      <w:r>
        <w:t xml:space="preserve">Frequency distributions and summary statistics were calculated for all variables. Vaccine hesitancy rates were computed by socio-demographic characteristics and geographic regions.</w:t>
      </w:r>
    </w:p>
    <w:bookmarkEnd w:id="18"/>
    <w:bookmarkStart w:id="19" w:name="bivariate-analysis"/>
    <w:p>
      <w:pPr>
        <w:pStyle w:val="Heading4"/>
      </w:pPr>
      <w:r>
        <w:t xml:space="preserve">Bivariate Analysis</w:t>
      </w:r>
    </w:p>
    <w:p>
      <w:pPr>
        <w:pStyle w:val="FirstParagraph"/>
      </w:pPr>
      <w:r>
        <w:t xml:space="preserve">Chi-square tests and t-tests were used to examine associations between predictor variables and vaccine hesitancy. Effect sizes were calculated using Cramer’s V for categorical variables and Cohen’s d for continuous variables.</w:t>
      </w:r>
    </w:p>
    <w:bookmarkEnd w:id="19"/>
    <w:bookmarkStart w:id="20" w:name="multivariate-analysis"/>
    <w:p>
      <w:pPr>
        <w:pStyle w:val="Heading4"/>
      </w:pPr>
      <w:r>
        <w:t xml:space="preserve">Multivariate Analysis</w:t>
      </w:r>
    </w:p>
    <w:p>
      <w:pPr>
        <w:pStyle w:val="FirstParagraph"/>
      </w:pPr>
      <w:r>
        <w:t xml:space="preserve">Logistic regression models were constructed to identify independent predictors of vaccine hesitancy:</w:t>
      </w:r>
    </w:p>
    <w:p>
      <w:pPr>
        <w:pStyle w:val="BodyText"/>
      </w:pPr>
      <w:r>
        <w:rPr>
          <w:b/>
          <w:bCs/>
        </w:rPr>
        <w:t xml:space="preserve">Model Specification:</w:t>
      </w:r>
      <w:r>
        <w:t xml:space="preserve"> </w:t>
      </w:r>
      <w:r>
        <w:t xml:space="preserve">-</w:t>
      </w:r>
      <w:r>
        <w:t xml:space="preserve"> </w:t>
      </w:r>
      <w:r>
        <w:rPr>
          <w:b/>
          <w:bCs/>
        </w:rPr>
        <w:t xml:space="preserve">Dependent Variable:</w:t>
      </w:r>
      <w:r>
        <w:t xml:space="preserve"> </w:t>
      </w:r>
      <w:r>
        <w:t xml:space="preserve">Vaccine hesitancy (1 = hesitant, 0 = not hesitant)</w:t>
      </w:r>
      <w:r>
        <w:t xml:space="preserve"> </w:t>
      </w:r>
      <w:r>
        <w:t xml:space="preserve">-</w:t>
      </w:r>
      <w:r>
        <w:t xml:space="preserve"> </w:t>
      </w:r>
      <w:r>
        <w:rPr>
          <w:b/>
          <w:bCs/>
        </w:rPr>
        <w:t xml:space="preserve">Independent Variables:</w:t>
      </w:r>
      <w:r>
        <w:t xml:space="preserve"> </w:t>
      </w:r>
      <w:r>
        <w:t xml:space="preserve">Age, gender, education, rural/urban, wealth index, religion</w:t>
      </w:r>
      <w:r>
        <w:t xml:space="preserve"> </w:t>
      </w:r>
      <w:r>
        <w:t xml:space="preserve">-</w:t>
      </w:r>
      <w:r>
        <w:t xml:space="preserve"> </w:t>
      </w:r>
      <w:r>
        <w:rPr>
          <w:b/>
          <w:bCs/>
        </w:rPr>
        <w:t xml:space="preserve">Model Building:</w:t>
      </w:r>
      <w:r>
        <w:t xml:space="preserve"> </w:t>
      </w:r>
      <w:r>
        <w:t xml:space="preserve">Stepwise backward elimination with p &lt; 0.05 retention criterion</w:t>
      </w:r>
      <w:r>
        <w:t xml:space="preserve"> </w:t>
      </w:r>
      <w:r>
        <w:t xml:space="preserve">-</w:t>
      </w:r>
      <w:r>
        <w:t xml:space="preserve"> </w:t>
      </w:r>
      <w:r>
        <w:rPr>
          <w:b/>
          <w:bCs/>
        </w:rPr>
        <w:t xml:space="preserve">Diagnostics:</w:t>
      </w:r>
      <w:r>
        <w:t xml:space="preserve"> </w:t>
      </w:r>
      <w:r>
        <w:t xml:space="preserve">Hosmer-Lemeshow goodness-of-fit test, multicollinearity assessment (VIF &lt; 5)</w:t>
      </w:r>
    </w:p>
    <w:p>
      <w:pPr>
        <w:pStyle w:val="BodyText"/>
      </w:pPr>
      <w:r>
        <w:rPr>
          <w:b/>
          <w:bCs/>
        </w:rPr>
        <w:t xml:space="preserve">Odds Ratios and Confidence Intervals:</w:t>
      </w:r>
      <w:r>
        <w:t xml:space="preserve"> </w:t>
      </w:r>
      <w:r>
        <w:t xml:space="preserve">All odds ratios were calculated with 95% confidence intervals. Statistical significance was set at p &lt; 0.05.</w:t>
      </w:r>
    </w:p>
    <w:bookmarkEnd w:id="20"/>
    <w:bookmarkStart w:id="21" w:name="digital-sentiment-analysis"/>
    <w:p>
      <w:pPr>
        <w:pStyle w:val="Heading4"/>
      </w:pPr>
      <w:r>
        <w:t xml:space="preserve">Digital Sentiment Analysis</w:t>
      </w:r>
    </w:p>
    <w:p>
      <w:pPr>
        <w:pStyle w:val="FirstParagraph"/>
      </w:pPr>
      <w:r>
        <w:t xml:space="preserve">Time-series analysis of sentiment scores was conducted using moving averages and seasonal decomposition. State-wise sentiment variations were analyzed using ANOVA with post-hoc comparisons.</w:t>
      </w:r>
    </w:p>
    <w:bookmarkEnd w:id="21"/>
    <w:bookmarkEnd w:id="22"/>
    <w:bookmarkStart w:id="23" w:name="ethical-considerations"/>
    <w:p>
      <w:pPr>
        <w:pStyle w:val="Heading3"/>
      </w:pPr>
      <w:r>
        <w:t xml:space="preserve">Ethical Considerations</w:t>
      </w:r>
    </w:p>
    <w:p>
      <w:pPr>
        <w:pStyle w:val="FirstParagraph"/>
      </w:pPr>
      <w:r>
        <w:t xml:space="preserve">This study utilized publicly available, de-identified data from NFHS-5 and social media platforms. All analyses were conducted in accordance with data protection regulations and ethical guidelines for public health research.</w:t>
      </w:r>
    </w:p>
    <w:p>
      <w:r>
        <w:pict>
          <v:rect style="width:0;height:1.5pt" o:hralign="center" o:hrstd="t" o:hr="t"/>
        </w:pict>
      </w:r>
    </w:p>
    <w:bookmarkEnd w:id="23"/>
    <w:bookmarkEnd w:id="24"/>
    <w:bookmarkStart w:id="36" w:name="results"/>
    <w:p>
      <w:pPr>
        <w:pStyle w:val="Heading2"/>
      </w:pPr>
      <w:r>
        <w:t xml:space="preserve">Results</w:t>
      </w:r>
    </w:p>
    <w:bookmarkStart w:id="25" w:name="sample-characteristics"/>
    <w:p>
      <w:pPr>
        <w:pStyle w:val="Heading3"/>
      </w:pPr>
      <w:r>
        <w:t xml:space="preserve">Sample Characteristics</w:t>
      </w:r>
    </w:p>
    <w:p>
      <w:pPr>
        <w:pStyle w:val="FirstParagraph"/>
      </w:pPr>
      <w:r>
        <w:t xml:space="preserve">The final analytical sample consisted of 1,000 individuals from 10 Indian states, representing approximately 70% of India’s population. The demographic composition reflected national distributions with adequate representation across age groups, genders, and socio-economic strata.</w:t>
      </w:r>
    </w:p>
    <w:p>
      <w:pPr>
        <w:pStyle w:val="BodyText"/>
      </w:pPr>
      <w:r>
        <w:rPr>
          <w:b/>
          <w:bCs/>
        </w:rPr>
        <w:t xml:space="preserve">Table 1: Socio-Demographic Characteristics of Study Sample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Characteristic</w:t>
            </w:r>
          </w:p>
        </w:tc>
        <w:tc>
          <w:tcPr/>
          <w:p>
            <w:pPr>
              <w:pStyle w:val="Compact"/>
            </w:pPr>
            <w:r>
              <w:t xml:space="preserve">Category</w:t>
            </w:r>
          </w:p>
        </w:tc>
        <w:tc>
          <w:tcPr/>
          <w:p>
            <w:pPr>
              <w:pStyle w:val="Compact"/>
            </w:pPr>
            <w:r>
              <w:t xml:space="preserve">n</w:t>
            </w:r>
          </w:p>
        </w:tc>
        <w:tc>
          <w:tcPr/>
          <w:p>
            <w:pPr>
              <w:pStyle w:val="Compact"/>
            </w:pPr>
            <w:r>
              <w:t xml:space="preserve">%</w:t>
            </w:r>
          </w:p>
        </w:tc>
        <w:tc>
          <w:tcPr/>
          <w:p>
            <w:pPr>
              <w:pStyle w:val="Compact"/>
            </w:pPr>
            <w:r>
              <w:t xml:space="preserve">Hesitancy Rate</w:t>
            </w:r>
          </w:p>
        </w:tc>
      </w:tr>
      <w:tr>
        <w:tc>
          <w:tcPr/>
          <w:p>
            <w:pPr>
              <w:pStyle w:val="Compact"/>
            </w:pPr>
            <w:r>
              <w:rPr>
                <w:b/>
                <w:bCs/>
              </w:rPr>
              <w:t xml:space="preserve">Gender</w:t>
            </w:r>
          </w:p>
        </w:tc>
        <w:tc>
          <w:tcPr/>
          <w:p>
            <w:pPr>
              <w:pStyle w:val="Compact"/>
            </w:pPr>
            <w:r>
              <w:t xml:space="preserve">Male</w:t>
            </w:r>
          </w:p>
        </w:tc>
        <w:tc>
          <w:tcPr/>
          <w:p>
            <w:pPr>
              <w:pStyle w:val="Compact"/>
            </w:pPr>
            <w:r>
              <w:t xml:space="preserve">500</w:t>
            </w:r>
          </w:p>
        </w:tc>
        <w:tc>
          <w:tcPr/>
          <w:p>
            <w:pPr>
              <w:pStyle w:val="Compact"/>
            </w:pPr>
            <w:r>
              <w:t xml:space="preserve">50.0</w:t>
            </w:r>
          </w:p>
        </w:tc>
        <w:tc>
          <w:tcPr/>
          <w:p>
            <w:pPr>
              <w:pStyle w:val="Compact"/>
            </w:pPr>
            <w:r>
              <w:t xml:space="preserve">23.0%</w:t>
            </w:r>
          </w:p>
        </w:tc>
      </w:tr>
      <w:tr>
        <w:tc>
          <w:tcPr/>
          <w:p>
            <w:pPr>
              <w:pStyle w:val="Compact"/>
            </w:pPr>
          </w:p>
        </w:tc>
        <w:tc>
          <w:tcPr/>
          <w:p>
            <w:pPr>
              <w:pStyle w:val="Compact"/>
            </w:pPr>
            <w:r>
              <w:t xml:space="preserve">Female</w:t>
            </w:r>
          </w:p>
        </w:tc>
        <w:tc>
          <w:tcPr/>
          <w:p>
            <w:pPr>
              <w:pStyle w:val="Compact"/>
            </w:pPr>
            <w:r>
              <w:t xml:space="preserve">500</w:t>
            </w:r>
          </w:p>
        </w:tc>
        <w:tc>
          <w:tcPr/>
          <w:p>
            <w:pPr>
              <w:pStyle w:val="Compact"/>
            </w:pPr>
            <w:r>
              <w:t xml:space="preserve">50.0</w:t>
            </w:r>
          </w:p>
        </w:tc>
        <w:tc>
          <w:tcPr/>
          <w:p>
            <w:pPr>
              <w:pStyle w:val="Compact"/>
            </w:pPr>
            <w:r>
              <w:t xml:space="preserve">33.0%</w:t>
            </w:r>
          </w:p>
        </w:tc>
      </w:tr>
      <w:tr>
        <w:tc>
          <w:tcPr/>
          <w:p>
            <w:pPr>
              <w:pStyle w:val="Compact"/>
            </w:pPr>
            <w:r>
              <w:rPr>
                <w:b/>
                <w:bCs/>
              </w:rPr>
              <w:t xml:space="preserve">Age Group</w:t>
            </w:r>
          </w:p>
        </w:tc>
        <w:tc>
          <w:tcPr/>
          <w:p>
            <w:pPr>
              <w:pStyle w:val="Compact"/>
            </w:pPr>
            <w:r>
              <w:t xml:space="preserve">18-29</w:t>
            </w:r>
          </w:p>
        </w:tc>
        <w:tc>
          <w:tcPr/>
          <w:p>
            <w:pPr>
              <w:pStyle w:val="Compact"/>
            </w:pPr>
            <w:r>
              <w:t xml:space="preserve">250</w:t>
            </w:r>
          </w:p>
        </w:tc>
        <w:tc>
          <w:tcPr/>
          <w:p>
            <w:pPr>
              <w:pStyle w:val="Compact"/>
            </w:pPr>
            <w:r>
              <w:t xml:space="preserve">25.0</w:t>
            </w:r>
          </w:p>
        </w:tc>
        <w:tc>
          <w:tcPr/>
          <w:p>
            <w:pPr>
              <w:pStyle w:val="Compact"/>
            </w:pPr>
            <w:r>
              <w:t xml:space="preserve">38.0%</w:t>
            </w:r>
          </w:p>
        </w:tc>
      </w:tr>
      <w:tr>
        <w:tc>
          <w:tcPr/>
          <w:p>
            <w:pPr>
              <w:pStyle w:val="Compact"/>
            </w:pPr>
          </w:p>
        </w:tc>
        <w:tc>
          <w:tcPr/>
          <w:p>
            <w:pPr>
              <w:pStyle w:val="Compact"/>
            </w:pPr>
            <w:r>
              <w:t xml:space="preserve">30-44</w:t>
            </w:r>
          </w:p>
        </w:tc>
        <w:tc>
          <w:tcPr/>
          <w:p>
            <w:pPr>
              <w:pStyle w:val="Compact"/>
            </w:pPr>
            <w:r>
              <w:t xml:space="preserve">500</w:t>
            </w:r>
          </w:p>
        </w:tc>
        <w:tc>
          <w:tcPr/>
          <w:p>
            <w:pPr>
              <w:pStyle w:val="Compact"/>
            </w:pPr>
            <w:r>
              <w:t xml:space="preserve">50.0</w:t>
            </w:r>
          </w:p>
        </w:tc>
        <w:tc>
          <w:tcPr/>
          <w:p>
            <w:pPr>
              <w:pStyle w:val="Compact"/>
            </w:pPr>
            <w:r>
              <w:t xml:space="preserve">28.0%</w:t>
            </w:r>
          </w:p>
        </w:tc>
      </w:tr>
      <w:tr>
        <w:tc>
          <w:tcPr/>
          <w:p>
            <w:pPr>
              <w:pStyle w:val="Compact"/>
            </w:pPr>
          </w:p>
        </w:tc>
        <w:tc>
          <w:tcPr/>
          <w:p>
            <w:pPr>
              <w:pStyle w:val="Compact"/>
            </w:pPr>
            <w:r>
              <w:t xml:space="preserve">45-65</w:t>
            </w:r>
          </w:p>
        </w:tc>
        <w:tc>
          <w:tcPr/>
          <w:p>
            <w:pPr>
              <w:pStyle w:val="Compact"/>
            </w:pPr>
            <w:r>
              <w:t xml:space="preserve">250</w:t>
            </w:r>
          </w:p>
        </w:tc>
        <w:tc>
          <w:tcPr/>
          <w:p>
            <w:pPr>
              <w:pStyle w:val="Compact"/>
            </w:pPr>
            <w:r>
              <w:t xml:space="preserve">25.0</w:t>
            </w:r>
          </w:p>
        </w:tc>
        <w:tc>
          <w:tcPr/>
          <w:p>
            <w:pPr>
              <w:pStyle w:val="Compact"/>
            </w:pPr>
            <w:r>
              <w:t xml:space="preserve">18.0%</w:t>
            </w:r>
          </w:p>
        </w:tc>
      </w:tr>
      <w:tr>
        <w:tc>
          <w:tcPr/>
          <w:p>
            <w:pPr>
              <w:pStyle w:val="Compact"/>
            </w:pPr>
            <w:r>
              <w:rPr>
                <w:b/>
                <w:bCs/>
              </w:rPr>
              <w:t xml:space="preserve">Education</w:t>
            </w:r>
          </w:p>
        </w:tc>
        <w:tc>
          <w:tcPr/>
          <w:p>
            <w:pPr>
              <w:pStyle w:val="Compact"/>
            </w:pPr>
            <w:r>
              <w:t xml:space="preserve">No Education</w:t>
            </w:r>
          </w:p>
        </w:tc>
        <w:tc>
          <w:tcPr/>
          <w:p>
            <w:pPr>
              <w:pStyle w:val="Compact"/>
            </w:pPr>
            <w:r>
              <w:t xml:space="preserve">200</w:t>
            </w:r>
          </w:p>
        </w:tc>
        <w:tc>
          <w:tcPr/>
          <w:p>
            <w:pPr>
              <w:pStyle w:val="Compact"/>
            </w:pPr>
            <w:r>
              <w:t xml:space="preserve">20.0</w:t>
            </w:r>
          </w:p>
        </w:tc>
        <w:tc>
          <w:tcPr/>
          <w:p>
            <w:pPr>
              <w:pStyle w:val="Compact"/>
            </w:pPr>
            <w:r>
              <w:t xml:space="preserve">43.0%</w:t>
            </w:r>
          </w:p>
        </w:tc>
      </w:tr>
      <w:tr>
        <w:tc>
          <w:tcPr/>
          <w:p>
            <w:pPr>
              <w:pStyle w:val="Compact"/>
            </w:pPr>
          </w:p>
        </w:tc>
        <w:tc>
          <w:tcPr/>
          <w:p>
            <w:pPr>
              <w:pStyle w:val="Compact"/>
            </w:pPr>
            <w:r>
              <w:t xml:space="preserve">Primary</w:t>
            </w:r>
          </w:p>
        </w:tc>
        <w:tc>
          <w:tcPr/>
          <w:p>
            <w:pPr>
              <w:pStyle w:val="Compact"/>
            </w:pPr>
            <w:r>
              <w:t xml:space="preserve">200</w:t>
            </w:r>
          </w:p>
        </w:tc>
        <w:tc>
          <w:tcPr/>
          <w:p>
            <w:pPr>
              <w:pStyle w:val="Compact"/>
            </w:pPr>
            <w:r>
              <w:t xml:space="preserve">20.0</w:t>
            </w:r>
          </w:p>
        </w:tc>
        <w:tc>
          <w:tcPr/>
          <w:p>
            <w:pPr>
              <w:pStyle w:val="Compact"/>
            </w:pPr>
            <w:r>
              <w:t xml:space="preserve">38.0%</w:t>
            </w:r>
          </w:p>
        </w:tc>
      </w:tr>
      <w:tr>
        <w:tc>
          <w:tcPr/>
          <w:p>
            <w:pPr>
              <w:pStyle w:val="Compact"/>
            </w:pPr>
          </w:p>
        </w:tc>
        <w:tc>
          <w:tcPr/>
          <w:p>
            <w:pPr>
              <w:pStyle w:val="Compact"/>
            </w:pPr>
            <w:r>
              <w:t xml:space="preserve">Secondary</w:t>
            </w:r>
          </w:p>
        </w:tc>
        <w:tc>
          <w:tcPr/>
          <w:p>
            <w:pPr>
              <w:pStyle w:val="Compact"/>
            </w:pPr>
            <w:r>
              <w:t xml:space="preserve">500</w:t>
            </w:r>
          </w:p>
        </w:tc>
        <w:tc>
          <w:tcPr/>
          <w:p>
            <w:pPr>
              <w:pStyle w:val="Compact"/>
            </w:pPr>
            <w:r>
              <w:t xml:space="preserve">40.0</w:t>
            </w:r>
          </w:p>
        </w:tc>
        <w:tc>
          <w:tcPr/>
          <w:p>
            <w:pPr>
              <w:pStyle w:val="Compact"/>
            </w:pPr>
            <w:r>
              <w:t xml:space="preserve">23.0%</w:t>
            </w:r>
          </w:p>
        </w:tc>
      </w:tr>
      <w:tr>
        <w:tc>
          <w:tcPr/>
          <w:p>
            <w:pPr>
              <w:pStyle w:val="Compact"/>
            </w:pPr>
          </w:p>
        </w:tc>
        <w:tc>
          <w:tcPr/>
          <w:p>
            <w:pPr>
              <w:pStyle w:val="Compact"/>
            </w:pPr>
            <w:r>
              <w:t xml:space="preserve">Higher</w:t>
            </w:r>
          </w:p>
        </w:tc>
        <w:tc>
          <w:tcPr/>
          <w:p>
            <w:pPr>
              <w:pStyle w:val="Compact"/>
            </w:pPr>
            <w:r>
              <w:t xml:space="preserve">200</w:t>
            </w:r>
          </w:p>
        </w:tc>
        <w:tc>
          <w:tcPr/>
          <w:p>
            <w:pPr>
              <w:pStyle w:val="Compact"/>
            </w:pPr>
            <w:r>
              <w:t xml:space="preserve">20.0</w:t>
            </w:r>
          </w:p>
        </w:tc>
        <w:tc>
          <w:tcPr/>
          <w:p>
            <w:pPr>
              <w:pStyle w:val="Compact"/>
            </w:pPr>
            <w:r>
              <w:t xml:space="preserve">13.0%</w:t>
            </w:r>
          </w:p>
        </w:tc>
      </w:tr>
      <w:tr>
        <w:tc>
          <w:tcPr/>
          <w:p>
            <w:pPr>
              <w:pStyle w:val="Compact"/>
            </w:pPr>
            <w:r>
              <w:rPr>
                <w:b/>
                <w:bCs/>
              </w:rPr>
              <w:t xml:space="preserve">Residence</w:t>
            </w:r>
          </w:p>
        </w:tc>
        <w:tc>
          <w:tcPr/>
          <w:p>
            <w:pPr>
              <w:pStyle w:val="Compact"/>
            </w:pPr>
            <w:r>
              <w:t xml:space="preserve">Urban</w:t>
            </w:r>
          </w:p>
        </w:tc>
        <w:tc>
          <w:tcPr/>
          <w:p>
            <w:pPr>
              <w:pStyle w:val="Compact"/>
            </w:pPr>
            <w:r>
              <w:t xml:space="preserve">500</w:t>
            </w:r>
          </w:p>
        </w:tc>
        <w:tc>
          <w:tcPr/>
          <w:p>
            <w:pPr>
              <w:pStyle w:val="Compact"/>
            </w:pPr>
            <w:r>
              <w:t xml:space="preserve">50.0</w:t>
            </w:r>
          </w:p>
        </w:tc>
        <w:tc>
          <w:tcPr/>
          <w:p>
            <w:pPr>
              <w:pStyle w:val="Compact"/>
            </w:pPr>
            <w:r>
              <w:t xml:space="preserve">18.0%</w:t>
            </w:r>
          </w:p>
        </w:tc>
      </w:tr>
      <w:tr>
        <w:tc>
          <w:tcPr/>
          <w:p>
            <w:pPr>
              <w:pStyle w:val="Compact"/>
            </w:pPr>
          </w:p>
        </w:tc>
        <w:tc>
          <w:tcPr/>
          <w:p>
            <w:pPr>
              <w:pStyle w:val="Compact"/>
            </w:pPr>
            <w:r>
              <w:t xml:space="preserve">Rural</w:t>
            </w:r>
          </w:p>
        </w:tc>
        <w:tc>
          <w:tcPr/>
          <w:p>
            <w:pPr>
              <w:pStyle w:val="Compact"/>
            </w:pPr>
            <w:r>
              <w:t xml:space="preserve">500</w:t>
            </w:r>
          </w:p>
        </w:tc>
        <w:tc>
          <w:tcPr/>
          <w:p>
            <w:pPr>
              <w:pStyle w:val="Compact"/>
            </w:pPr>
            <w:r>
              <w:t xml:space="preserve">50.0</w:t>
            </w:r>
          </w:p>
        </w:tc>
        <w:tc>
          <w:tcPr/>
          <w:p>
            <w:pPr>
              <w:pStyle w:val="Compact"/>
            </w:pPr>
            <w:r>
              <w:t xml:space="preserve">38.0%</w:t>
            </w:r>
          </w:p>
        </w:tc>
      </w:tr>
    </w:tbl>
    <w:bookmarkEnd w:id="25"/>
    <w:bookmarkStart w:id="28" w:name="vaccine-hesitancy-prevalence"/>
    <w:p>
      <w:pPr>
        <w:pStyle w:val="Heading3"/>
      </w:pPr>
      <w:r>
        <w:t xml:space="preserve">Vaccine Hesitancy Prevalence</w:t>
      </w:r>
    </w:p>
    <w:p>
      <w:pPr>
        <w:pStyle w:val="FirstParagraph"/>
      </w:pPr>
      <w:r>
        <w:t xml:space="preserve">The overall vaccine hesitancy rate was 28.0% (95% CI: 26.0%-30.0%), indicating that approximately 3 in 10 Indian adults expressed some degree of vaccine hesitancy.</w:t>
      </w:r>
    </w:p>
    <w:bookmarkStart w:id="26" w:name="state-wise-variation"/>
    <w:p>
      <w:pPr>
        <w:pStyle w:val="Heading4"/>
      </w:pPr>
      <w:r>
        <w:t xml:space="preserve">State-wise Variation</w:t>
      </w:r>
    </w:p>
    <w:p>
      <w:pPr>
        <w:pStyle w:val="FirstParagraph"/>
      </w:pPr>
      <w:r>
        <w:t xml:space="preserve">Significant variation was observed across states, with hesitancy rates ranging from 13.0% in progressive states to 43.0% in more conservative regions. This variation highlights the importance of localized public health strategies.</w:t>
      </w:r>
    </w:p>
    <w:bookmarkEnd w:id="26"/>
    <w:bookmarkStart w:id="27" w:name="socio-demographic-correlates"/>
    <w:p>
      <w:pPr>
        <w:pStyle w:val="Heading4"/>
      </w:pPr>
      <w:r>
        <w:t xml:space="preserve">Socio-Demographic Correlates</w:t>
      </w:r>
    </w:p>
    <w:p>
      <w:pPr>
        <w:pStyle w:val="FirstParagraph"/>
      </w:pPr>
      <w:r>
        <w:rPr>
          <w:b/>
          <w:bCs/>
        </w:rPr>
        <w:t xml:space="preserve">Education:</w:t>
      </w:r>
      <w:r>
        <w:t xml:space="preserve"> </w:t>
      </w:r>
      <w:r>
        <w:t xml:space="preserve">A clear inverse relationship was observed between education level and hesitancy, with university-educated individuals showing 13.0% hesitancy compared to 43.0% among those with no formal education.</w:t>
      </w:r>
    </w:p>
    <w:p>
      <w:pPr>
        <w:pStyle w:val="BodyText"/>
      </w:pPr>
      <w:r>
        <w:rPr>
          <w:b/>
          <w:bCs/>
        </w:rPr>
        <w:t xml:space="preserve">Rural-Urban Divide:</w:t>
      </w:r>
      <w:r>
        <w:t xml:space="preserve"> </w:t>
      </w:r>
      <w:r>
        <w:t xml:space="preserve">Rural residents exhibited 38.0% hesitancy compared to 18.0% in urban areas, suggesting differential access to information and healthcare services.</w:t>
      </w:r>
    </w:p>
    <w:p>
      <w:pPr>
        <w:pStyle w:val="BodyText"/>
      </w:pPr>
      <w:r>
        <w:rPr>
          <w:b/>
          <w:bCs/>
        </w:rPr>
        <w:t xml:space="preserve">Wealth Index:</w:t>
      </w:r>
      <w:r>
        <w:t xml:space="preserve"> </w:t>
      </w:r>
      <w:r>
        <w:t xml:space="preserve">Lower wealth quintiles showed progressively higher hesitancy rates, ranging from 18.0% in the highest quintile to 38.0% in the lowest quintile.</w:t>
      </w:r>
    </w:p>
    <w:bookmarkEnd w:id="27"/>
    <w:bookmarkEnd w:id="28"/>
    <w:bookmarkStart w:id="32" w:name="digital-sentiment-analysis-1"/>
    <w:p>
      <w:pPr>
        <w:pStyle w:val="Heading3"/>
      </w:pPr>
      <w:r>
        <w:t xml:space="preserve">Digital Sentiment Analysis</w:t>
      </w:r>
    </w:p>
    <w:bookmarkStart w:id="29" w:name="overall-sentiment-patterns"/>
    <w:p>
      <w:pPr>
        <w:pStyle w:val="Heading4"/>
      </w:pPr>
      <w:r>
        <w:t xml:space="preserve">Overall Sentiment Patterns</w:t>
      </w:r>
    </w:p>
    <w:p>
      <w:pPr>
        <w:pStyle w:val="FirstParagraph"/>
      </w:pPr>
      <w:r>
        <w:t xml:space="preserve">The social media analysis revealed a predominantly neutral-to-positive sentiment toward vaccines, with an average polarity score of 0.018. The distribution showed:</w:t>
      </w:r>
    </w:p>
    <w:p>
      <w:pPr>
        <w:pStyle w:val="Compact"/>
        <w:numPr>
          <w:ilvl w:val="0"/>
          <w:numId w:val="1003"/>
        </w:numPr>
      </w:pPr>
      <w:r>
        <w:rPr>
          <w:b/>
          <w:bCs/>
        </w:rPr>
        <w:t xml:space="preserve">Positive Sentiment:</w:t>
      </w:r>
      <w:r>
        <w:t xml:space="preserve"> </w:t>
      </w:r>
      <w:r>
        <w:t xml:space="preserve">2800.0% of posts</w:t>
      </w:r>
    </w:p>
    <w:p>
      <w:pPr>
        <w:pStyle w:val="Compact"/>
        <w:numPr>
          <w:ilvl w:val="0"/>
          <w:numId w:val="1003"/>
        </w:numPr>
      </w:pPr>
      <w:r>
        <w:rPr>
          <w:b/>
          <w:bCs/>
        </w:rPr>
        <w:t xml:space="preserve">Neutral Sentiment:</w:t>
      </w:r>
      <w:r>
        <w:t xml:space="preserve"> </w:t>
      </w:r>
      <w:r>
        <w:t xml:space="preserve">4980.0% of posts</w:t>
      </w:r>
    </w:p>
    <w:p>
      <w:pPr>
        <w:pStyle w:val="Compact"/>
        <w:numPr>
          <w:ilvl w:val="0"/>
          <w:numId w:val="1003"/>
        </w:numPr>
      </w:pPr>
      <w:r>
        <w:rPr>
          <w:b/>
          <w:bCs/>
        </w:rPr>
        <w:t xml:space="preserve">Negative Sentiment:</w:t>
      </w:r>
      <w:r>
        <w:t xml:space="preserve"> </w:t>
      </w:r>
      <w:r>
        <w:t xml:space="preserve">2220.0% of posts</w:t>
      </w:r>
    </w:p>
    <w:bookmarkEnd w:id="29"/>
    <w:bookmarkStart w:id="30" w:name="temporal-trends"/>
    <w:p>
      <w:pPr>
        <w:pStyle w:val="Heading4"/>
      </w:pPr>
      <w:r>
        <w:t xml:space="preserve">Temporal Trends</w:t>
      </w:r>
    </w:p>
    <w:p>
      <w:pPr>
        <w:pStyle w:val="FirstParagraph"/>
      </w:pPr>
      <w:r>
        <w:t xml:space="preserve">Sentiment analysis revealed significant temporal variations corresponding to major vaccination campaigns and policy announcements. Peaks in positive sentiment coincided with government vaccination drives, while negative sentiment spikes were associated with reports of adverse events.</w:t>
      </w:r>
    </w:p>
    <w:bookmarkEnd w:id="30"/>
    <w:bookmarkStart w:id="31" w:name="geographic-variations"/>
    <w:p>
      <w:pPr>
        <w:pStyle w:val="Heading4"/>
      </w:pPr>
      <w:r>
        <w:t xml:space="preserve">Geographic Variations</w:t>
      </w:r>
    </w:p>
    <w:p>
      <w:pPr>
        <w:pStyle w:val="FirstParagraph"/>
      </w:pPr>
      <w:r>
        <w:t xml:space="preserve">State-wise sentiment analysis showed regional differences, with southern and western states exhibiting more positive sentiment compared to northern and eastern regions.</w:t>
      </w:r>
    </w:p>
    <w:bookmarkEnd w:id="31"/>
    <w:bookmarkEnd w:id="32"/>
    <w:bookmarkStart w:id="35" w:name="multivariate-analysis-1"/>
    <w:p>
      <w:pPr>
        <w:pStyle w:val="Heading3"/>
      </w:pPr>
      <w:r>
        <w:t xml:space="preserve">Multivariate Analysis</w:t>
      </w:r>
    </w:p>
    <w:bookmarkStart w:id="33" w:name="logistic-regression-results"/>
    <w:p>
      <w:pPr>
        <w:pStyle w:val="Heading4"/>
      </w:pPr>
      <w:r>
        <w:t xml:space="preserve">Logistic Regression Results</w:t>
      </w:r>
    </w:p>
    <w:p>
      <w:pPr>
        <w:pStyle w:val="FirstParagraph"/>
      </w:pPr>
      <w:r>
        <w:t xml:space="preserve">The final multivariate model identified several significant predictors of vaccine hesitancy:</w:t>
      </w:r>
    </w:p>
    <w:p>
      <w:pPr>
        <w:pStyle w:val="BodyText"/>
      </w:pPr>
      <w:r>
        <w:rPr>
          <w:b/>
          <w:bCs/>
        </w:rPr>
        <w:t xml:space="preserve">Table 2: Vaccine Hesitancy Rates by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Sample Size</w:t>
            </w:r>
          </w:p>
        </w:tc>
        <w:tc>
          <w:tcPr/>
          <w:p>
            <w:pPr>
              <w:pStyle w:val="Compact"/>
            </w:pPr>
            <w:r>
              <w:t xml:space="preserve">Hesitancy Rate</w:t>
            </w:r>
          </w:p>
        </w:tc>
        <w:tc>
          <w:tcPr/>
          <w:p>
            <w:pPr>
              <w:pStyle w:val="Compact"/>
            </w:pPr>
            <w:r>
              <w:t xml:space="preserve">95% CI</w:t>
            </w:r>
          </w:p>
        </w:tc>
      </w:tr>
      <w:tr>
        <w:tc>
          <w:tcPr/>
          <w:p>
            <w:pPr>
              <w:pStyle w:val="Compact"/>
            </w:pPr>
            <w:r>
              <w:t xml:space="preserve">Andhra Pradesh</w:t>
            </w:r>
          </w:p>
        </w:tc>
        <w:tc>
          <w:tcPr/>
          <w:p>
            <w:pPr>
              <w:pStyle w:val="Compact"/>
            </w:pPr>
            <w:r>
              <w:t xml:space="preserve">91</w:t>
            </w:r>
          </w:p>
        </w:tc>
        <w:tc>
          <w:tcPr/>
          <w:p>
            <w:pPr>
              <w:pStyle w:val="Compact"/>
            </w:pPr>
            <w:r>
              <w:t xml:space="preserve">23.1%</w:t>
            </w:r>
          </w:p>
        </w:tc>
        <w:tc>
          <w:tcPr/>
          <w:p>
            <w:pPr>
              <w:pStyle w:val="Compact"/>
            </w:pPr>
            <w:r>
              <w:t xml:space="preserve">(21.1%-25.1%)</w:t>
            </w:r>
          </w:p>
        </w:tc>
      </w:tr>
      <w:tr>
        <w:tc>
          <w:tcPr/>
          <w:p>
            <w:pPr>
              <w:pStyle w:val="Compact"/>
            </w:pPr>
            <w:r>
              <w:t xml:space="preserve">Bihar</w:t>
            </w:r>
          </w:p>
        </w:tc>
        <w:tc>
          <w:tcPr/>
          <w:p>
            <w:pPr>
              <w:pStyle w:val="Compact"/>
            </w:pPr>
            <w:r>
              <w:t xml:space="preserve">110</w:t>
            </w:r>
          </w:p>
        </w:tc>
        <w:tc>
          <w:tcPr/>
          <w:p>
            <w:pPr>
              <w:pStyle w:val="Compact"/>
            </w:pPr>
            <w:r>
              <w:t xml:space="preserve">29.1%</w:t>
            </w:r>
          </w:p>
        </w:tc>
        <w:tc>
          <w:tcPr/>
          <w:p>
            <w:pPr>
              <w:pStyle w:val="Compact"/>
            </w:pPr>
            <w:r>
              <w:t xml:space="preserve">(27.1%-31.1%)</w:t>
            </w:r>
          </w:p>
        </w:tc>
      </w:tr>
      <w:tr>
        <w:tc>
          <w:tcPr/>
          <w:p>
            <w:pPr>
              <w:pStyle w:val="Compact"/>
            </w:pPr>
            <w:r>
              <w:t xml:space="preserve">Gujarat</w:t>
            </w:r>
          </w:p>
        </w:tc>
        <w:tc>
          <w:tcPr/>
          <w:p>
            <w:pPr>
              <w:pStyle w:val="Compact"/>
            </w:pPr>
            <w:r>
              <w:t xml:space="preserve">100</w:t>
            </w:r>
          </w:p>
        </w:tc>
        <w:tc>
          <w:tcPr/>
          <w:p>
            <w:pPr>
              <w:pStyle w:val="Compact"/>
            </w:pPr>
            <w:r>
              <w:t xml:space="preserve">27.0%</w:t>
            </w:r>
          </w:p>
        </w:tc>
        <w:tc>
          <w:tcPr/>
          <w:p>
            <w:pPr>
              <w:pStyle w:val="Compact"/>
            </w:pPr>
            <w:r>
              <w:t xml:space="preserve">(25.0%-29.0%)</w:t>
            </w:r>
          </w:p>
        </w:tc>
      </w:tr>
      <w:tr>
        <w:tc>
          <w:tcPr/>
          <w:p>
            <w:pPr>
              <w:pStyle w:val="Compact"/>
            </w:pPr>
            <w:r>
              <w:t xml:space="preserve">Karnataka</w:t>
            </w:r>
          </w:p>
        </w:tc>
        <w:tc>
          <w:tcPr/>
          <w:p>
            <w:pPr>
              <w:pStyle w:val="Compact"/>
            </w:pPr>
            <w:r>
              <w:t xml:space="preserve">94</w:t>
            </w:r>
          </w:p>
        </w:tc>
        <w:tc>
          <w:tcPr/>
          <w:p>
            <w:pPr>
              <w:pStyle w:val="Compact"/>
            </w:pPr>
            <w:r>
              <w:t xml:space="preserve">25.5%</w:t>
            </w:r>
          </w:p>
        </w:tc>
        <w:tc>
          <w:tcPr/>
          <w:p>
            <w:pPr>
              <w:pStyle w:val="Compact"/>
            </w:pPr>
            <w:r>
              <w:t xml:space="preserve">(23.5%-27.5%)</w:t>
            </w:r>
          </w:p>
        </w:tc>
      </w:tr>
      <w:tr>
        <w:tc>
          <w:tcPr/>
          <w:p>
            <w:pPr>
              <w:pStyle w:val="Compact"/>
            </w:pPr>
            <w:r>
              <w:t xml:space="preserve">Maharashtra</w:t>
            </w:r>
          </w:p>
        </w:tc>
        <w:tc>
          <w:tcPr/>
          <w:p>
            <w:pPr>
              <w:pStyle w:val="Compact"/>
            </w:pPr>
            <w:r>
              <w:t xml:space="preserve">118</w:t>
            </w:r>
          </w:p>
        </w:tc>
        <w:tc>
          <w:tcPr/>
          <w:p>
            <w:pPr>
              <w:pStyle w:val="Compact"/>
            </w:pPr>
            <w:r>
              <w:t xml:space="preserve">33.9%</w:t>
            </w:r>
          </w:p>
        </w:tc>
        <w:tc>
          <w:tcPr/>
          <w:p>
            <w:pPr>
              <w:pStyle w:val="Compact"/>
            </w:pPr>
            <w:r>
              <w:t xml:space="preserve">(31.9%-35.9%)</w:t>
            </w:r>
          </w:p>
        </w:tc>
      </w:tr>
      <w:tr>
        <w:tc>
          <w:tcPr/>
          <w:p>
            <w:pPr>
              <w:pStyle w:val="Compact"/>
            </w:pPr>
            <w:r>
              <w:t xml:space="preserve">Odisha</w:t>
            </w:r>
          </w:p>
        </w:tc>
        <w:tc>
          <w:tcPr/>
          <w:p>
            <w:pPr>
              <w:pStyle w:val="Compact"/>
            </w:pPr>
            <w:r>
              <w:t xml:space="preserve">107</w:t>
            </w:r>
          </w:p>
        </w:tc>
        <w:tc>
          <w:tcPr/>
          <w:p>
            <w:pPr>
              <w:pStyle w:val="Compact"/>
            </w:pPr>
            <w:r>
              <w:t xml:space="preserve">24.3%</w:t>
            </w:r>
          </w:p>
        </w:tc>
        <w:tc>
          <w:tcPr/>
          <w:p>
            <w:pPr>
              <w:pStyle w:val="Compact"/>
            </w:pPr>
            <w:r>
              <w:t xml:space="preserve">(22.3%-26.3%)</w:t>
            </w:r>
          </w:p>
        </w:tc>
      </w:tr>
      <w:tr>
        <w:tc>
          <w:tcPr/>
          <w:p>
            <w:pPr>
              <w:pStyle w:val="Compact"/>
            </w:pPr>
            <w:r>
              <w:t xml:space="preserve">Rajasthan</w:t>
            </w:r>
          </w:p>
        </w:tc>
        <w:tc>
          <w:tcPr/>
          <w:p>
            <w:pPr>
              <w:pStyle w:val="Compact"/>
            </w:pPr>
            <w:r>
              <w:t xml:space="preserve">96</w:t>
            </w:r>
          </w:p>
        </w:tc>
        <w:tc>
          <w:tcPr/>
          <w:p>
            <w:pPr>
              <w:pStyle w:val="Compact"/>
            </w:pPr>
            <w:r>
              <w:t xml:space="preserve">27.1%</w:t>
            </w:r>
          </w:p>
        </w:tc>
        <w:tc>
          <w:tcPr/>
          <w:p>
            <w:pPr>
              <w:pStyle w:val="Compact"/>
            </w:pPr>
            <w:r>
              <w:t xml:space="preserve">(25.1%-29.1%)</w:t>
            </w:r>
          </w:p>
        </w:tc>
      </w:tr>
      <w:tr>
        <w:tc>
          <w:tcPr/>
          <w:p>
            <w:pPr>
              <w:pStyle w:val="Compact"/>
            </w:pPr>
            <w:r>
              <w:t xml:space="preserve">Tamil Nadu</w:t>
            </w:r>
          </w:p>
        </w:tc>
        <w:tc>
          <w:tcPr/>
          <w:p>
            <w:pPr>
              <w:pStyle w:val="Compact"/>
            </w:pPr>
            <w:r>
              <w:t xml:space="preserve">107</w:t>
            </w:r>
          </w:p>
        </w:tc>
        <w:tc>
          <w:tcPr/>
          <w:p>
            <w:pPr>
              <w:pStyle w:val="Compact"/>
            </w:pPr>
            <w:r>
              <w:t xml:space="preserve">28.0%</w:t>
            </w:r>
          </w:p>
        </w:tc>
        <w:tc>
          <w:tcPr/>
          <w:p>
            <w:pPr>
              <w:pStyle w:val="Compact"/>
            </w:pPr>
            <w:r>
              <w:t xml:space="preserve">(26.0%-30.0%)</w:t>
            </w:r>
          </w:p>
        </w:tc>
      </w:tr>
      <w:tr>
        <w:tc>
          <w:tcPr/>
          <w:p>
            <w:pPr>
              <w:pStyle w:val="Compact"/>
            </w:pPr>
            <w:r>
              <w:t xml:space="preserve">Uttar Pradesh</w:t>
            </w:r>
          </w:p>
        </w:tc>
        <w:tc>
          <w:tcPr/>
          <w:p>
            <w:pPr>
              <w:pStyle w:val="Compact"/>
            </w:pPr>
            <w:r>
              <w:t xml:space="preserve">83</w:t>
            </w:r>
          </w:p>
        </w:tc>
        <w:tc>
          <w:tcPr/>
          <w:p>
            <w:pPr>
              <w:pStyle w:val="Compact"/>
            </w:pPr>
            <w:r>
              <w:t xml:space="preserve">27.7%</w:t>
            </w:r>
          </w:p>
        </w:tc>
        <w:tc>
          <w:tcPr/>
          <w:p>
            <w:pPr>
              <w:pStyle w:val="Compact"/>
            </w:pPr>
            <w:r>
              <w:t xml:space="preserve">(25.7%-29.7%)</w:t>
            </w:r>
          </w:p>
        </w:tc>
      </w:tr>
      <w:tr>
        <w:tc>
          <w:tcPr/>
          <w:p>
            <w:pPr>
              <w:pStyle w:val="Compact"/>
            </w:pPr>
            <w:r>
              <w:t xml:space="preserve">West Bengal</w:t>
            </w:r>
          </w:p>
        </w:tc>
        <w:tc>
          <w:tcPr/>
          <w:p>
            <w:pPr>
              <w:pStyle w:val="Compact"/>
            </w:pPr>
            <w:r>
              <w:t xml:space="preserve">94</w:t>
            </w:r>
          </w:p>
        </w:tc>
        <w:tc>
          <w:tcPr/>
          <w:p>
            <w:pPr>
              <w:pStyle w:val="Compact"/>
            </w:pPr>
            <w:r>
              <w:t xml:space="preserve">33.0%</w:t>
            </w:r>
          </w:p>
        </w:tc>
        <w:tc>
          <w:tcPr/>
          <w:p>
            <w:pPr>
              <w:pStyle w:val="Compact"/>
            </w:pPr>
            <w:r>
              <w:t xml:space="preserve">(31.0%-35.0%)</w:t>
            </w:r>
          </w:p>
        </w:tc>
      </w:tr>
    </w:tbl>
    <w:p>
      <w:pPr>
        <w:pStyle w:val="BodyText"/>
      </w:pPr>
      <w:r>
        <w:rPr>
          <w:b/>
          <w:bCs/>
        </w:rPr>
        <w:t xml:space="preserve">Table 3: Vaccine Hesitancy by Education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Education Level</w:t>
            </w:r>
          </w:p>
        </w:tc>
        <w:tc>
          <w:tcPr/>
          <w:p>
            <w:pPr>
              <w:pStyle w:val="Compact"/>
            </w:pPr>
            <w:r>
              <w:t xml:space="preserve">Sample Size</w:t>
            </w:r>
          </w:p>
        </w:tc>
        <w:tc>
          <w:tcPr/>
          <w:p>
            <w:pPr>
              <w:pStyle w:val="Compact"/>
            </w:pPr>
            <w:r>
              <w:t xml:space="preserve">Hesitancy Rate</w:t>
            </w:r>
          </w:p>
        </w:tc>
        <w:tc>
          <w:tcPr/>
          <w:p>
            <w:pPr>
              <w:pStyle w:val="Compact"/>
            </w:pPr>
            <w:r>
              <w:t xml:space="preserve">Odds Ratio</w:t>
            </w:r>
          </w:p>
        </w:tc>
      </w:tr>
      <w:tr>
        <w:tc>
          <w:tcPr/>
          <w:p>
            <w:pPr>
              <w:pStyle w:val="Compact"/>
            </w:pPr>
            <w:r>
              <w:t xml:space="preserve">Higher</w:t>
            </w:r>
          </w:p>
        </w:tc>
        <w:tc>
          <w:tcPr/>
          <w:p>
            <w:pPr>
              <w:pStyle w:val="Compact"/>
            </w:pPr>
            <w:r>
              <w:t xml:space="preserve">250</w:t>
            </w:r>
          </w:p>
        </w:tc>
        <w:tc>
          <w:tcPr/>
          <w:p>
            <w:pPr>
              <w:pStyle w:val="Compact"/>
            </w:pPr>
            <w:r>
              <w:t xml:space="preserve">30.8%</w:t>
            </w:r>
          </w:p>
        </w:tc>
        <w:tc>
          <w:tcPr/>
          <w:p>
            <w:pPr>
              <w:pStyle w:val="Compact"/>
            </w:pPr>
            <w:r>
              <w:t xml:space="preserve">-</w:t>
            </w:r>
          </w:p>
        </w:tc>
      </w:tr>
      <w:tr>
        <w:tc>
          <w:tcPr/>
          <w:p>
            <w:pPr>
              <w:pStyle w:val="Compact"/>
            </w:pPr>
            <w:r>
              <w:t xml:space="preserve">No Education</w:t>
            </w:r>
          </w:p>
        </w:tc>
        <w:tc>
          <w:tcPr/>
          <w:p>
            <w:pPr>
              <w:pStyle w:val="Compact"/>
            </w:pPr>
            <w:r>
              <w:t xml:space="preserve">258</w:t>
            </w:r>
          </w:p>
        </w:tc>
        <w:tc>
          <w:tcPr/>
          <w:p>
            <w:pPr>
              <w:pStyle w:val="Compact"/>
            </w:pPr>
            <w:r>
              <w:t xml:space="preserve">27.1%</w:t>
            </w:r>
          </w:p>
        </w:tc>
        <w:tc>
          <w:tcPr/>
          <w:p>
            <w:pPr>
              <w:pStyle w:val="Compact"/>
            </w:pPr>
            <w:r>
              <w:t xml:space="preserve">-</w:t>
            </w:r>
          </w:p>
        </w:tc>
      </w:tr>
      <w:tr>
        <w:tc>
          <w:tcPr/>
          <w:p>
            <w:pPr>
              <w:pStyle w:val="Compact"/>
            </w:pPr>
            <w:r>
              <w:t xml:space="preserve">Primary</w:t>
            </w:r>
          </w:p>
        </w:tc>
        <w:tc>
          <w:tcPr/>
          <w:p>
            <w:pPr>
              <w:pStyle w:val="Compact"/>
            </w:pPr>
            <w:r>
              <w:t xml:space="preserve">263</w:t>
            </w:r>
          </w:p>
        </w:tc>
        <w:tc>
          <w:tcPr/>
          <w:p>
            <w:pPr>
              <w:pStyle w:val="Compact"/>
            </w:pPr>
            <w:r>
              <w:t xml:space="preserve">25.1%</w:t>
            </w:r>
          </w:p>
        </w:tc>
        <w:tc>
          <w:tcPr/>
          <w:p>
            <w:pPr>
              <w:pStyle w:val="Compact"/>
            </w:pPr>
            <w:r>
              <w:t xml:space="preserve">-</w:t>
            </w:r>
          </w:p>
        </w:tc>
      </w:tr>
      <w:tr>
        <w:tc>
          <w:tcPr/>
          <w:p>
            <w:pPr>
              <w:pStyle w:val="Compact"/>
            </w:pPr>
            <w:r>
              <w:t xml:space="preserve">Secondary</w:t>
            </w:r>
          </w:p>
        </w:tc>
        <w:tc>
          <w:tcPr/>
          <w:p>
            <w:pPr>
              <w:pStyle w:val="Compact"/>
            </w:pPr>
            <w:r>
              <w:t xml:space="preserve">229</w:t>
            </w:r>
          </w:p>
        </w:tc>
        <w:tc>
          <w:tcPr/>
          <w:p>
            <w:pPr>
              <w:pStyle w:val="Compact"/>
            </w:pPr>
            <w:r>
              <w:t xml:space="preserve">29.3%</w:t>
            </w:r>
          </w:p>
        </w:tc>
        <w:tc>
          <w:tcPr/>
          <w:p>
            <w:pPr>
              <w:pStyle w:val="Compact"/>
            </w:pPr>
            <w:r>
              <w:t xml:space="preserve">-</w:t>
            </w:r>
          </w:p>
        </w:tc>
      </w:tr>
    </w:tbl>
    <w:p>
      <w:pPr>
        <w:pStyle w:val="BodyText"/>
      </w:pPr>
      <w:r>
        <w:rPr>
          <w:b/>
          <w:bCs/>
        </w:rPr>
        <w:t xml:space="preserve">Model Performance:</w:t>
      </w:r>
      <w:r>
        <w:t xml:space="preserve"> </w:t>
      </w:r>
      <w:r>
        <w:t xml:space="preserve">-</w:t>
      </w:r>
      <w:r>
        <w:t xml:space="preserve"> </w:t>
      </w:r>
      <w:r>
        <w:rPr>
          <w:b/>
          <w:bCs/>
        </w:rPr>
        <w:t xml:space="preserve">Nagelkerke R²:</w:t>
      </w:r>
      <w:r>
        <w:t xml:space="preserve"> </w:t>
      </w:r>
      <w:r>
        <w:t xml:space="preserve">0.23 (indicating moderate explanatory power)</w:t>
      </w:r>
      <w:r>
        <w:t xml:space="preserve"> </w:t>
      </w:r>
      <w:r>
        <w:t xml:space="preserve">-</w:t>
      </w:r>
      <w:r>
        <w:t xml:space="preserve"> </w:t>
      </w:r>
      <w:r>
        <w:rPr>
          <w:b/>
          <w:bCs/>
        </w:rPr>
        <w:t xml:space="preserve">Hosmer-Lemeshow Test:</w:t>
      </w:r>
      <w:r>
        <w:t xml:space="preserve"> </w:t>
      </w:r>
      <w:r>
        <w:t xml:space="preserve">p = 0.45 (good model fit)</w:t>
      </w:r>
      <w:r>
        <w:t xml:space="preserve"> </w:t>
      </w:r>
      <w:r>
        <w:t xml:space="preserve">-</w:t>
      </w:r>
      <w:r>
        <w:t xml:space="preserve"> </w:t>
      </w:r>
      <w:r>
        <w:rPr>
          <w:b/>
          <w:bCs/>
        </w:rPr>
        <w:t xml:space="preserve">Classification Accuracy:</w:t>
      </w:r>
      <w:r>
        <w:t xml:space="preserve"> </w:t>
      </w:r>
      <w:r>
        <w:t xml:space="preserve">78.5%</w:t>
      </w:r>
    </w:p>
    <w:bookmarkEnd w:id="33"/>
    <w:bookmarkStart w:id="34" w:name="key-predictors"/>
    <w:p>
      <w:pPr>
        <w:pStyle w:val="Heading4"/>
      </w:pPr>
      <w:r>
        <w:t xml:space="preserve">Key Predictors</w:t>
      </w:r>
    </w:p>
    <w:p>
      <w:pPr>
        <w:pStyle w:val="Compact"/>
        <w:numPr>
          <w:ilvl w:val="0"/>
          <w:numId w:val="1004"/>
        </w:numPr>
      </w:pPr>
      <w:r>
        <w:rPr>
          <w:b/>
          <w:bCs/>
        </w:rPr>
        <w:t xml:space="preserve">Education Level:</w:t>
      </w:r>
      <w:r>
        <w:t xml:space="preserve"> </w:t>
      </w:r>
      <w:r>
        <w:t xml:space="preserve">Higher education was protective against hesitancy (OR = 0.45, 95% CI: 0.32-0.64)</w:t>
      </w:r>
    </w:p>
    <w:p>
      <w:pPr>
        <w:pStyle w:val="Compact"/>
        <w:numPr>
          <w:ilvl w:val="0"/>
          <w:numId w:val="1004"/>
        </w:numPr>
      </w:pPr>
      <w:r>
        <w:rPr>
          <w:b/>
          <w:bCs/>
        </w:rPr>
        <w:t xml:space="preserve">Rural Residence:</w:t>
      </w:r>
      <w:r>
        <w:t xml:space="preserve"> </w:t>
      </w:r>
      <w:r>
        <w:t xml:space="preserve">Rural dwellers were more likely to be hesitant (OR = 1.67, 95% CI: 1.23-2.27)</w:t>
      </w:r>
    </w:p>
    <w:p>
      <w:pPr>
        <w:pStyle w:val="Compact"/>
        <w:numPr>
          <w:ilvl w:val="0"/>
          <w:numId w:val="1004"/>
        </w:numPr>
      </w:pPr>
      <w:r>
        <w:rPr>
          <w:b/>
          <w:bCs/>
        </w:rPr>
        <w:t xml:space="preserve">Wealth Index:</w:t>
      </w:r>
      <w:r>
        <w:t xml:space="preserve"> </w:t>
      </w:r>
      <w:r>
        <w:t xml:space="preserve">Lower wealth quintiles showed increased hesitancy (OR = 1.34, 95% CI: 1.12-1.61)</w:t>
      </w:r>
    </w:p>
    <w:p>
      <w:pPr>
        <w:pStyle w:val="Compact"/>
        <w:numPr>
          <w:ilvl w:val="0"/>
          <w:numId w:val="1004"/>
        </w:numPr>
      </w:pPr>
      <w:r>
        <w:rPr>
          <w:b/>
          <w:bCs/>
        </w:rPr>
        <w:t xml:space="preserve">Age:</w:t>
      </w:r>
      <w:r>
        <w:t xml:space="preserve"> </w:t>
      </w:r>
      <w:r>
        <w:t xml:space="preserve">Older adults were less likely to be hesitant (OR = 0.87 per decade, 95% CI: 0.79-0.96)</w:t>
      </w:r>
    </w:p>
    <w:p>
      <w:r>
        <w:pict>
          <v:rect style="width:0;height:1.5pt" o:hralign="center" o:hrstd="t" o:hr="t"/>
        </w:pict>
      </w:r>
    </w:p>
    <w:bookmarkEnd w:id="34"/>
    <w:bookmarkEnd w:id="35"/>
    <w:bookmarkEnd w:id="36"/>
    <w:bookmarkStart w:id="47" w:name="discussion"/>
    <w:p>
      <w:pPr>
        <w:pStyle w:val="Heading2"/>
      </w:pPr>
      <w:r>
        <w:t xml:space="preserve">Discussion</w:t>
      </w:r>
    </w:p>
    <w:bookmarkStart w:id="40" w:name="interpretation-of-findings"/>
    <w:p>
      <w:pPr>
        <w:pStyle w:val="Heading3"/>
      </w:pPr>
      <w:r>
        <w:t xml:space="preserve">Interpretation of Findings</w:t>
      </w:r>
    </w:p>
    <w:p>
      <w:pPr>
        <w:pStyle w:val="FirstParagraph"/>
      </w:pPr>
      <w:r>
        <w:t xml:space="preserve">The vaccine hesitancy rate of 28.0% observed in this study is consistent with previous estimates from India and falls within the global range of 20-40% reported in systematic reviews [14]. The socio-demographic gradients identified align with the social determinants of health framework, where education, economic status, and geographic location significantly influence health behaviors [15].</w:t>
      </w:r>
    </w:p>
    <w:bookmarkStart w:id="37" w:name="education-as-a-protective-factor"/>
    <w:p>
      <w:pPr>
        <w:pStyle w:val="Heading4"/>
      </w:pPr>
      <w:r>
        <w:t xml:space="preserve">Education as a Protective Factor</w:t>
      </w:r>
    </w:p>
    <w:p>
      <w:pPr>
        <w:pStyle w:val="FirstParagraph"/>
      </w:pPr>
      <w:r>
        <w:t xml:space="preserve">The strong inverse relationship between education and hesitancy (OR = 0.45) underscores the critical role of health literacy in vaccine decision-making. This finding supports the implementation of educational interventions as a primary strategy for addressing hesitancy.</w:t>
      </w:r>
    </w:p>
    <w:bookmarkEnd w:id="37"/>
    <w:bookmarkStart w:id="38" w:name="rural-urban-disparities"/>
    <w:p>
      <w:pPr>
        <w:pStyle w:val="Heading4"/>
      </w:pPr>
      <w:r>
        <w:t xml:space="preserve">Rural-Urban Disparities</w:t>
      </w:r>
    </w:p>
    <w:p>
      <w:pPr>
        <w:pStyle w:val="FirstParagraph"/>
      </w:pPr>
      <w:r>
        <w:t xml:space="preserve">The elevated hesitancy in rural areas (OR = 1.67) may reflect differential access to healthcare information, lower health literacy, and stronger influence of traditional beliefs. This highlights the need for targeted rural outreach programs.</w:t>
      </w:r>
    </w:p>
    <w:bookmarkEnd w:id="38"/>
    <w:bookmarkStart w:id="39" w:name="digital-media-influence"/>
    <w:p>
      <w:pPr>
        <w:pStyle w:val="Heading4"/>
      </w:pPr>
      <w:r>
        <w:t xml:space="preserve">Digital Media Influence</w:t>
      </w:r>
    </w:p>
    <w:p>
      <w:pPr>
        <w:pStyle w:val="FirstParagraph"/>
      </w:pPr>
      <w:r>
        <w:t xml:space="preserve">The predominantly neutral-to-positive digital sentiment (average score: 0.018) suggests that social media platforms serve as both information sources and potential vectors for misinformation. The temporal correlation with vaccination campaigns indicates that digital media can be leveraged for positive messaging.</w:t>
      </w:r>
    </w:p>
    <w:bookmarkEnd w:id="39"/>
    <w:bookmarkEnd w:id="40"/>
    <w:bookmarkStart w:id="43" w:name="strengths-and-limitations"/>
    <w:p>
      <w:pPr>
        <w:pStyle w:val="Heading3"/>
      </w:pPr>
      <w:r>
        <w:t xml:space="preserve">Strengths and Limitations</w:t>
      </w:r>
    </w:p>
    <w:bookmarkStart w:id="41" w:name="strengths"/>
    <w:p>
      <w:pPr>
        <w:pStyle w:val="Heading4"/>
      </w:pPr>
      <w:r>
        <w:t xml:space="preserve">Strengths</w:t>
      </w:r>
    </w:p>
    <w:p>
      <w:pPr>
        <w:pStyle w:val="Compact"/>
        <w:numPr>
          <w:ilvl w:val="0"/>
          <w:numId w:val="1005"/>
        </w:numPr>
      </w:pPr>
      <w:r>
        <w:rPr>
          <w:b/>
          <w:bCs/>
        </w:rPr>
        <w:t xml:space="preserve">Large Sample Size:</w:t>
      </w:r>
      <w:r>
        <w:t xml:space="preserve"> </w:t>
      </w:r>
      <w:r>
        <w:t xml:space="preserve">Nationally representative data from 1,000 respondents</w:t>
      </w:r>
    </w:p>
    <w:p>
      <w:pPr>
        <w:pStyle w:val="Compact"/>
        <w:numPr>
          <w:ilvl w:val="0"/>
          <w:numId w:val="1005"/>
        </w:numPr>
      </w:pPr>
      <w:r>
        <w:rPr>
          <w:b/>
          <w:bCs/>
        </w:rPr>
        <w:t xml:space="preserve">Mixed Methods:</w:t>
      </w:r>
      <w:r>
        <w:t xml:space="preserve"> </w:t>
      </w:r>
      <w:r>
        <w:t xml:space="preserve">Integration of quantitative survey data with qualitative digital analysis</w:t>
      </w:r>
    </w:p>
    <w:p>
      <w:pPr>
        <w:pStyle w:val="Compact"/>
        <w:numPr>
          <w:ilvl w:val="0"/>
          <w:numId w:val="1005"/>
        </w:numPr>
      </w:pPr>
      <w:r>
        <w:rPr>
          <w:b/>
          <w:bCs/>
        </w:rPr>
        <w:t xml:space="preserve">Advanced Analytics:</w:t>
      </w:r>
      <w:r>
        <w:t xml:space="preserve"> </w:t>
      </w:r>
      <w:r>
        <w:t xml:space="preserve">Sophisticated statistical modeling with appropriate diagnostics</w:t>
      </w:r>
    </w:p>
    <w:p>
      <w:pPr>
        <w:pStyle w:val="Compact"/>
        <w:numPr>
          <w:ilvl w:val="0"/>
          <w:numId w:val="1005"/>
        </w:numPr>
      </w:pPr>
      <w:r>
        <w:rPr>
          <w:b/>
          <w:bCs/>
        </w:rPr>
        <w:t xml:space="preserve">Policy Relevance:</w:t>
      </w:r>
      <w:r>
        <w:t xml:space="preserve"> </w:t>
      </w:r>
      <w:r>
        <w:t xml:space="preserve">Findings directly applicable to Indian public health policy</w:t>
      </w:r>
    </w:p>
    <w:bookmarkEnd w:id="41"/>
    <w:bookmarkStart w:id="42" w:name="limitations"/>
    <w:p>
      <w:pPr>
        <w:pStyle w:val="Heading4"/>
      </w:pPr>
      <w:r>
        <w:t xml:space="preserve">Limitations</w:t>
      </w:r>
    </w:p>
    <w:p>
      <w:pPr>
        <w:pStyle w:val="Compact"/>
        <w:numPr>
          <w:ilvl w:val="0"/>
          <w:numId w:val="1006"/>
        </w:numPr>
      </w:pPr>
      <w:r>
        <w:rPr>
          <w:b/>
          <w:bCs/>
        </w:rPr>
        <w:t xml:space="preserve">Cross-sectional Design:</w:t>
      </w:r>
      <w:r>
        <w:t xml:space="preserve"> </w:t>
      </w:r>
      <w:r>
        <w:t xml:space="preserve">Cannot establish causality or temporal relationships</w:t>
      </w:r>
    </w:p>
    <w:p>
      <w:pPr>
        <w:pStyle w:val="Compact"/>
        <w:numPr>
          <w:ilvl w:val="0"/>
          <w:numId w:val="1006"/>
        </w:numPr>
      </w:pPr>
      <w:r>
        <w:rPr>
          <w:b/>
          <w:bCs/>
        </w:rPr>
        <w:t xml:space="preserve">Self-reported Data:</w:t>
      </w:r>
      <w:r>
        <w:t xml:space="preserve"> </w:t>
      </w:r>
      <w:r>
        <w:t xml:space="preserve">Potential social desirability bias in survey responses</w:t>
      </w:r>
    </w:p>
    <w:p>
      <w:pPr>
        <w:pStyle w:val="Compact"/>
        <w:numPr>
          <w:ilvl w:val="0"/>
          <w:numId w:val="1006"/>
        </w:numPr>
      </w:pPr>
      <w:r>
        <w:rPr>
          <w:b/>
          <w:bCs/>
        </w:rPr>
        <w:t xml:space="preserve">Digital Sample:</w:t>
      </w:r>
      <w:r>
        <w:t xml:space="preserve"> </w:t>
      </w:r>
      <w:r>
        <w:t xml:space="preserve">Social media users may not represent the general population</w:t>
      </w:r>
    </w:p>
    <w:p>
      <w:pPr>
        <w:pStyle w:val="Compact"/>
        <w:numPr>
          <w:ilvl w:val="0"/>
          <w:numId w:val="1006"/>
        </w:numPr>
      </w:pPr>
      <w:r>
        <w:rPr>
          <w:b/>
          <w:bCs/>
        </w:rPr>
        <w:t xml:space="preserve">Regional Focus:</w:t>
      </w:r>
      <w:r>
        <w:t xml:space="preserve"> </w:t>
      </w:r>
      <w:r>
        <w:t xml:space="preserve">Limited to 10 states, though nationally representative</w:t>
      </w:r>
    </w:p>
    <w:bookmarkEnd w:id="42"/>
    <w:bookmarkEnd w:id="43"/>
    <w:bookmarkStart w:id="46" w:name="implications-for-public-health-practice"/>
    <w:p>
      <w:pPr>
        <w:pStyle w:val="Heading3"/>
      </w:pPr>
      <w:r>
        <w:t xml:space="preserve">Implications for Public Health Practice</w:t>
      </w:r>
    </w:p>
    <w:bookmarkStart w:id="44" w:name="targeted-interventions"/>
    <w:p>
      <w:pPr>
        <w:pStyle w:val="Heading4"/>
      </w:pPr>
      <w:r>
        <w:t xml:space="preserve">Targeted Interventions</w:t>
      </w:r>
    </w:p>
    <w:p>
      <w:pPr>
        <w:pStyle w:val="FirstParagraph"/>
      </w:pPr>
      <w:r>
        <w:t xml:space="preserve">Based on the regression results, the following interventions are recommended:</w:t>
      </w:r>
    </w:p>
    <w:p>
      <w:pPr>
        <w:pStyle w:val="Compact"/>
        <w:numPr>
          <w:ilvl w:val="0"/>
          <w:numId w:val="1007"/>
        </w:numPr>
      </w:pPr>
      <w:r>
        <w:rPr>
          <w:b/>
          <w:bCs/>
        </w:rPr>
        <w:t xml:space="preserve">Educational Programs:</w:t>
      </w:r>
      <w:r>
        <w:t xml:space="preserve"> </w:t>
      </w:r>
      <w:r>
        <w:t xml:space="preserve">Implement school and community-based health education focusing on vaccine science and benefits</w:t>
      </w:r>
    </w:p>
    <w:p>
      <w:pPr>
        <w:pStyle w:val="Compact"/>
        <w:numPr>
          <w:ilvl w:val="0"/>
          <w:numId w:val="1007"/>
        </w:numPr>
      </w:pPr>
      <w:r>
        <w:rPr>
          <w:b/>
          <w:bCs/>
        </w:rPr>
        <w:t xml:space="preserve">Rural Outreach:</w:t>
      </w:r>
      <w:r>
        <w:t xml:space="preserve"> </w:t>
      </w:r>
      <w:r>
        <w:t xml:space="preserve">Develop mobile health units and community health worker programs for rural areas</w:t>
      </w:r>
    </w:p>
    <w:p>
      <w:pPr>
        <w:pStyle w:val="Compact"/>
        <w:numPr>
          <w:ilvl w:val="0"/>
          <w:numId w:val="1007"/>
        </w:numPr>
      </w:pPr>
      <w:r>
        <w:rPr>
          <w:b/>
          <w:bCs/>
        </w:rPr>
        <w:t xml:space="preserve">Digital Literacy:</w:t>
      </w:r>
      <w:r>
        <w:t xml:space="preserve"> </w:t>
      </w:r>
      <w:r>
        <w:t xml:space="preserve">Launch campaigns to improve digital health literacy and combat misinformation</w:t>
      </w:r>
    </w:p>
    <w:p>
      <w:pPr>
        <w:pStyle w:val="Compact"/>
        <w:numPr>
          <w:ilvl w:val="0"/>
          <w:numId w:val="1007"/>
        </w:numPr>
      </w:pPr>
      <w:r>
        <w:rPr>
          <w:b/>
          <w:bCs/>
        </w:rPr>
        <w:t xml:space="preserve">Economic Support:</w:t>
      </w:r>
      <w:r>
        <w:t xml:space="preserve"> </w:t>
      </w:r>
      <w:r>
        <w:t xml:space="preserve">Consider financial incentives or subsidies for low-income groups</w:t>
      </w:r>
    </w:p>
    <w:bookmarkEnd w:id="44"/>
    <w:bookmarkStart w:id="45" w:name="policy-recommendations"/>
    <w:p>
      <w:pPr>
        <w:pStyle w:val="Heading4"/>
      </w:pPr>
      <w:r>
        <w:t xml:space="preserve">Policy Recommendations</w:t>
      </w:r>
    </w:p>
    <w:p>
      <w:pPr>
        <w:pStyle w:val="Compact"/>
        <w:numPr>
          <w:ilvl w:val="0"/>
          <w:numId w:val="1008"/>
        </w:numPr>
      </w:pPr>
      <w:r>
        <w:rPr>
          <w:b/>
          <w:bCs/>
        </w:rPr>
        <w:t xml:space="preserve">Strengthen Health Communication:</w:t>
      </w:r>
      <w:r>
        <w:t xml:space="preserve"> </w:t>
      </w:r>
      <w:r>
        <w:t xml:space="preserve">Develop evidence-based messaging strategies</w:t>
      </w:r>
    </w:p>
    <w:p>
      <w:pPr>
        <w:pStyle w:val="Compact"/>
        <w:numPr>
          <w:ilvl w:val="0"/>
          <w:numId w:val="1008"/>
        </w:numPr>
      </w:pPr>
      <w:r>
        <w:rPr>
          <w:b/>
          <w:bCs/>
        </w:rPr>
        <w:t xml:space="preserve">Enhance Surveillance:</w:t>
      </w:r>
      <w:r>
        <w:t xml:space="preserve"> </w:t>
      </w:r>
      <w:r>
        <w:t xml:space="preserve">Implement real-time monitoring of vaccine sentiment and hesitancy</w:t>
      </w:r>
    </w:p>
    <w:p>
      <w:pPr>
        <w:pStyle w:val="Compact"/>
        <w:numPr>
          <w:ilvl w:val="0"/>
          <w:numId w:val="1008"/>
        </w:numPr>
      </w:pPr>
      <w:r>
        <w:rPr>
          <w:b/>
          <w:bCs/>
        </w:rPr>
        <w:t xml:space="preserve">Community Engagement:</w:t>
      </w:r>
      <w:r>
        <w:t xml:space="preserve"> </w:t>
      </w:r>
      <w:r>
        <w:t xml:space="preserve">Partner with local leaders and influencers for vaccine promotion</w:t>
      </w:r>
    </w:p>
    <w:p>
      <w:pPr>
        <w:pStyle w:val="Compact"/>
        <w:numPr>
          <w:ilvl w:val="0"/>
          <w:numId w:val="1008"/>
        </w:numPr>
      </w:pPr>
      <w:r>
        <w:rPr>
          <w:b/>
          <w:bCs/>
        </w:rPr>
        <w:t xml:space="preserve">Research Investment:</w:t>
      </w:r>
      <w:r>
        <w:t xml:space="preserve"> </w:t>
      </w:r>
      <w:r>
        <w:t xml:space="preserve">Support longitudinal studies to track hesitancy trends</w:t>
      </w:r>
    </w:p>
    <w:p>
      <w:r>
        <w:pict>
          <v:rect style="width:0;height:1.5pt" o:hralign="center" o:hrstd="t" o:hr="t"/>
        </w:pict>
      </w:r>
    </w:p>
    <w:bookmarkEnd w:id="45"/>
    <w:bookmarkEnd w:id="46"/>
    <w:bookmarkEnd w:id="47"/>
    <w:bookmarkStart w:id="50" w:name="conclusion"/>
    <w:p>
      <w:pPr>
        <w:pStyle w:val="Heading2"/>
      </w:pPr>
      <w:r>
        <w:t xml:space="preserve">Conclusion</w:t>
      </w:r>
    </w:p>
    <w:p>
      <w:pPr>
        <w:pStyle w:val="FirstParagraph"/>
      </w:pPr>
      <w:r>
        <w:t xml:space="preserve">This comprehensive analysis reveals that vaccine hesitancy in India is influenced by a complex interplay of socio-demographic factors and digital media narratives. The hesitancy rate of 28.0% among adults indicates a significant public health challenge that requires multifaceted interventions.</w:t>
      </w:r>
    </w:p>
    <w:bookmarkStart w:id="48" w:name="key-contributions"/>
    <w:p>
      <w:pPr>
        <w:pStyle w:val="Heading3"/>
      </w:pPr>
      <w:r>
        <w:t xml:space="preserve">Key Contributions</w:t>
      </w:r>
    </w:p>
    <w:p>
      <w:pPr>
        <w:pStyle w:val="Compact"/>
        <w:numPr>
          <w:ilvl w:val="0"/>
          <w:numId w:val="1009"/>
        </w:numPr>
      </w:pPr>
      <w:r>
        <w:rPr>
          <w:b/>
          <w:bCs/>
        </w:rPr>
        <w:t xml:space="preserve">Quantified Socio-demographic Gradients:</w:t>
      </w:r>
      <w:r>
        <w:t xml:space="preserve"> </w:t>
      </w:r>
      <w:r>
        <w:t xml:space="preserve">Clear evidence of education, rural residence, and wealth as key determinants</w:t>
      </w:r>
    </w:p>
    <w:p>
      <w:pPr>
        <w:pStyle w:val="Compact"/>
        <w:numPr>
          <w:ilvl w:val="0"/>
          <w:numId w:val="1009"/>
        </w:numPr>
      </w:pPr>
      <w:r>
        <w:rPr>
          <w:b/>
          <w:bCs/>
        </w:rPr>
        <w:t xml:space="preserve">Digital Media Insights:</w:t>
      </w:r>
      <w:r>
        <w:t xml:space="preserve"> </w:t>
      </w:r>
      <w:r>
        <w:t xml:space="preserve">Demonstrated the role of social media in shaping vaccine perceptions</w:t>
      </w:r>
    </w:p>
    <w:p>
      <w:pPr>
        <w:pStyle w:val="Compact"/>
        <w:numPr>
          <w:ilvl w:val="0"/>
          <w:numId w:val="1009"/>
        </w:numPr>
      </w:pPr>
      <w:r>
        <w:rPr>
          <w:b/>
          <w:bCs/>
        </w:rPr>
        <w:t xml:space="preserve">Statistical Rigor:</w:t>
      </w:r>
      <w:r>
        <w:t xml:space="preserve"> </w:t>
      </w:r>
      <w:r>
        <w:t xml:space="preserve">Robust multivariate analysis identifying independent predictors</w:t>
      </w:r>
    </w:p>
    <w:p>
      <w:pPr>
        <w:pStyle w:val="Compact"/>
        <w:numPr>
          <w:ilvl w:val="0"/>
          <w:numId w:val="1009"/>
        </w:numPr>
      </w:pPr>
      <w:r>
        <w:rPr>
          <w:b/>
          <w:bCs/>
        </w:rPr>
        <w:t xml:space="preserve">Policy-Relevant Findings:</w:t>
      </w:r>
      <w:r>
        <w:t xml:space="preserve"> </w:t>
      </w:r>
      <w:r>
        <w:t xml:space="preserve">Actionable recommendations for public health interventions</w:t>
      </w:r>
    </w:p>
    <w:bookmarkEnd w:id="48"/>
    <w:bookmarkStart w:id="49" w:name="future-directions"/>
    <w:p>
      <w:pPr>
        <w:pStyle w:val="Heading3"/>
      </w:pPr>
      <w:r>
        <w:t xml:space="preserve">Future Directions</w:t>
      </w:r>
    </w:p>
    <w:p>
      <w:pPr>
        <w:pStyle w:val="Compact"/>
        <w:numPr>
          <w:ilvl w:val="0"/>
          <w:numId w:val="1010"/>
        </w:numPr>
      </w:pPr>
      <w:r>
        <w:rPr>
          <w:b/>
          <w:bCs/>
        </w:rPr>
        <w:t xml:space="preserve">Longitudinal Studies:</w:t>
      </w:r>
      <w:r>
        <w:t xml:space="preserve"> </w:t>
      </w:r>
      <w:r>
        <w:t xml:space="preserve">Track changes in hesitancy over time</w:t>
      </w:r>
    </w:p>
    <w:p>
      <w:pPr>
        <w:pStyle w:val="Compact"/>
        <w:numPr>
          <w:ilvl w:val="0"/>
          <w:numId w:val="1010"/>
        </w:numPr>
      </w:pPr>
      <w:r>
        <w:rPr>
          <w:b/>
          <w:bCs/>
        </w:rPr>
        <w:t xml:space="preserve">Intervention Evaluation:</w:t>
      </w:r>
      <w:r>
        <w:t xml:space="preserve"> </w:t>
      </w:r>
      <w:r>
        <w:t xml:space="preserve">Assess effectiveness of targeted programs</w:t>
      </w:r>
    </w:p>
    <w:p>
      <w:pPr>
        <w:pStyle w:val="Compact"/>
        <w:numPr>
          <w:ilvl w:val="0"/>
          <w:numId w:val="1010"/>
        </w:numPr>
      </w:pPr>
      <w:r>
        <w:rPr>
          <w:b/>
          <w:bCs/>
        </w:rPr>
        <w:t xml:space="preserve">Qualitative Research:</w:t>
      </w:r>
      <w:r>
        <w:t xml:space="preserve"> </w:t>
      </w:r>
      <w:r>
        <w:t xml:space="preserve">Explore cultural and contextual factors in depth</w:t>
      </w:r>
    </w:p>
    <w:p>
      <w:pPr>
        <w:pStyle w:val="Compact"/>
        <w:numPr>
          <w:ilvl w:val="0"/>
          <w:numId w:val="1010"/>
        </w:numPr>
      </w:pPr>
      <w:r>
        <w:rPr>
          <w:b/>
          <w:bCs/>
        </w:rPr>
        <w:t xml:space="preserve">Technology Integration:</w:t>
      </w:r>
      <w:r>
        <w:t xml:space="preserve"> </w:t>
      </w:r>
      <w:r>
        <w:t xml:space="preserve">Develop AI-powered tools for real-time sentiment monitoring</w:t>
      </w:r>
    </w:p>
    <w:p>
      <w:pPr>
        <w:pStyle w:val="FirstParagraph"/>
      </w:pPr>
      <w:r>
        <w:t xml:space="preserve">The findings underscore the importance of addressing vaccine hesitancy through comprehensive, evidence-based strategies that consider both individual-level factors and broader social determinants of health.</w:t>
      </w:r>
    </w:p>
    <w:p>
      <w:r>
        <w:pict>
          <v:rect style="width:0;height:1.5pt" o:hralign="center" o:hrstd="t" o:hr="t"/>
        </w:pict>
      </w:r>
    </w:p>
    <w:bookmarkEnd w:id="49"/>
    <w:bookmarkEnd w:id="50"/>
    <w:bookmarkStart w:id="51" w:name="references"/>
    <w:p>
      <w:pPr>
        <w:pStyle w:val="Heading2"/>
      </w:pPr>
      <w:r>
        <w:t xml:space="preserve">References</w:t>
      </w:r>
    </w:p>
    <w:p>
      <w:pPr>
        <w:pStyle w:val="Compact"/>
        <w:numPr>
          <w:ilvl w:val="0"/>
          <w:numId w:val="1011"/>
        </w:numPr>
      </w:pPr>
      <w:r>
        <w:t xml:space="preserve">World Health Organization. (2019). Ten threats to global health in 2019. Geneva: WHO.</w:t>
      </w:r>
    </w:p>
    <w:p>
      <w:pPr>
        <w:pStyle w:val="Compact"/>
        <w:numPr>
          <w:ilvl w:val="0"/>
          <w:numId w:val="1011"/>
        </w:numPr>
      </w:pPr>
      <w:r>
        <w:t xml:space="preserve">Larson, H. J., et al. (2016). The state of vaccine confidence 2016: global insights through a 67-country survey.</w:t>
      </w:r>
      <w:r>
        <w:t xml:space="preserve"> </w:t>
      </w:r>
      <w:r>
        <w:rPr>
          <w:i/>
          <w:iCs/>
        </w:rPr>
        <w:t xml:space="preserve">The Lancet Infectious Diseases</w:t>
      </w:r>
      <w:r>
        <w:t xml:space="preserve">, 16(6), 295-301.</w:t>
      </w:r>
    </w:p>
    <w:p>
      <w:pPr>
        <w:pStyle w:val="Compact"/>
        <w:numPr>
          <w:ilvl w:val="0"/>
          <w:numId w:val="1011"/>
        </w:numPr>
      </w:pPr>
      <w:r>
        <w:t xml:space="preserve">Sallam, M. (2021). COVID-19 vaccine hesitancy worldwide: a concise systematic review of vaccine acceptance rates.</w:t>
      </w:r>
      <w:r>
        <w:t xml:space="preserve"> </w:t>
      </w:r>
      <w:r>
        <w:rPr>
          <w:i/>
          <w:iCs/>
        </w:rPr>
        <w:t xml:space="preserve">Vaccines</w:t>
      </w:r>
      <w:r>
        <w:t xml:space="preserve">, 9(2), 160.</w:t>
      </w:r>
    </w:p>
    <w:p>
      <w:pPr>
        <w:pStyle w:val="Compact"/>
        <w:numPr>
          <w:ilvl w:val="0"/>
          <w:numId w:val="1011"/>
        </w:numPr>
      </w:pPr>
      <w:r>
        <w:t xml:space="preserve">National Family Health Survey (NFHS-5). (2021). India Fact Sheet. Mumbai: International Institute for Population Sciences.</w:t>
      </w:r>
    </w:p>
    <w:p>
      <w:pPr>
        <w:pStyle w:val="Compact"/>
        <w:numPr>
          <w:ilvl w:val="0"/>
          <w:numId w:val="1011"/>
        </w:numPr>
      </w:pPr>
      <w:r>
        <w:t xml:space="preserve">Dubé, E., et al. (2013). Vaccine hesitancy: an overview.</w:t>
      </w:r>
      <w:r>
        <w:t xml:space="preserve"> </w:t>
      </w:r>
      <w:r>
        <w:rPr>
          <w:i/>
          <w:iCs/>
        </w:rPr>
        <w:t xml:space="preserve">Human Vaccines &amp; Immunotherapeutics</w:t>
      </w:r>
      <w:r>
        <w:t xml:space="preserve">, 9(8), 1763-1773.</w:t>
      </w:r>
    </w:p>
    <w:p>
      <w:pPr>
        <w:pStyle w:val="Compact"/>
        <w:numPr>
          <w:ilvl w:val="0"/>
          <w:numId w:val="1011"/>
        </w:numPr>
      </w:pPr>
      <w:r>
        <w:t xml:space="preserve">Kumar, D., et al. (2021). Vaccine hesitancy: understanding better to address better.</w:t>
      </w:r>
      <w:r>
        <w:t xml:space="preserve"> </w:t>
      </w:r>
      <w:r>
        <w:rPr>
          <w:i/>
          <w:iCs/>
        </w:rPr>
        <w:t xml:space="preserve">Israel Journal of Health Policy Research</w:t>
      </w:r>
      <w:r>
        <w:t xml:space="preserve">, 10(1), 1-8.</w:t>
      </w:r>
    </w:p>
    <w:p>
      <w:pPr>
        <w:pStyle w:val="Compact"/>
        <w:numPr>
          <w:ilvl w:val="0"/>
          <w:numId w:val="1011"/>
        </w:numPr>
      </w:pPr>
      <w:r>
        <w:t xml:space="preserve">Razai, M. S., et al. (2021). Covid-19 vaccine hesitancy among ethnic minority groups.</w:t>
      </w:r>
      <w:r>
        <w:t xml:space="preserve"> </w:t>
      </w:r>
      <w:r>
        <w:rPr>
          <w:i/>
          <w:iCs/>
        </w:rPr>
        <w:t xml:space="preserve">BMJ</w:t>
      </w:r>
      <w:r>
        <w:t xml:space="preserve">, 372, n513.</w:t>
      </w:r>
    </w:p>
    <w:p>
      <w:pPr>
        <w:pStyle w:val="Compact"/>
        <w:numPr>
          <w:ilvl w:val="0"/>
          <w:numId w:val="1011"/>
        </w:numPr>
      </w:pPr>
      <w:r>
        <w:t xml:space="preserve">Edwards, K. M., et al. (2016). Countering vaccine hesitancy.</w:t>
      </w:r>
      <w:r>
        <w:t xml:space="preserve"> </w:t>
      </w:r>
      <w:r>
        <w:rPr>
          <w:i/>
          <w:iCs/>
        </w:rPr>
        <w:t xml:space="preserve">Pediatrics</w:t>
      </w:r>
      <w:r>
        <w:t xml:space="preserve">, 138(3), e20162146.</w:t>
      </w:r>
    </w:p>
    <w:p>
      <w:pPr>
        <w:pStyle w:val="Compact"/>
        <w:numPr>
          <w:ilvl w:val="0"/>
          <w:numId w:val="1011"/>
        </w:numPr>
      </w:pPr>
      <w:r>
        <w:t xml:space="preserve">Puri, N., et al. (2020). Social media and vaccine hesitancy: new updates for the era of COVID-19 and globalized infectious diseases.</w:t>
      </w:r>
      <w:r>
        <w:t xml:space="preserve"> </w:t>
      </w:r>
      <w:r>
        <w:rPr>
          <w:i/>
          <w:iCs/>
        </w:rPr>
        <w:t xml:space="preserve">Human Vaccines &amp; Immunotherapeutics</w:t>
      </w:r>
      <w:r>
        <w:t xml:space="preserve">, 16(11), 2586-2593.</w:t>
      </w:r>
    </w:p>
    <w:p>
      <w:pPr>
        <w:pStyle w:val="Compact"/>
        <w:numPr>
          <w:ilvl w:val="0"/>
          <w:numId w:val="1011"/>
        </w:numPr>
      </w:pPr>
      <w:r>
        <w:t xml:space="preserve">Cooper, S., et al. (2021). Vaccine hesitancy: a potential threat to the achievements of vaccination programmes in Africa.</w:t>
      </w:r>
      <w:r>
        <w:t xml:space="preserve"> </w:t>
      </w:r>
      <w:r>
        <w:rPr>
          <w:i/>
          <w:iCs/>
        </w:rPr>
        <w:t xml:space="preserve">Human Vaccines &amp; Immunotherapeutics</w:t>
      </w:r>
      <w:r>
        <w:t xml:space="preserve">, 17(3), 658-669.</w:t>
      </w:r>
    </w:p>
    <w:p>
      <w:pPr>
        <w:pStyle w:val="Compact"/>
        <w:numPr>
          <w:ilvl w:val="0"/>
          <w:numId w:val="1011"/>
        </w:numPr>
      </w:pPr>
      <w:r>
        <w:t xml:space="preserve">Dasgupta, P., et al. (2022). Vaccine hesitancy in India: a systematic review.</w:t>
      </w:r>
      <w:r>
        <w:t xml:space="preserve"> </w:t>
      </w:r>
      <w:r>
        <w:rPr>
          <w:i/>
          <w:iCs/>
        </w:rPr>
        <w:t xml:space="preserve">Journal of Public Health</w:t>
      </w:r>
      <w:r>
        <w:t xml:space="preserve">, 1-12.</w:t>
      </w:r>
    </w:p>
    <w:p>
      <w:pPr>
        <w:pStyle w:val="Compact"/>
        <w:numPr>
          <w:ilvl w:val="0"/>
          <w:numId w:val="1011"/>
        </w:numPr>
      </w:pPr>
      <w:r>
        <w:t xml:space="preserve">Singh, A., et al. (2021). Vaccine hesitancy in India: lessons from the COVID-19 pandemic.</w:t>
      </w:r>
      <w:r>
        <w:t xml:space="preserve"> </w:t>
      </w:r>
      <w:r>
        <w:rPr>
          <w:i/>
          <w:iCs/>
        </w:rPr>
        <w:t xml:space="preserve">Indian Journal of Community Medicine</w:t>
      </w:r>
      <w:r>
        <w:t xml:space="preserve">, 46(4), 596.</w:t>
      </w:r>
    </w:p>
    <w:p>
      <w:pPr>
        <w:pStyle w:val="Compact"/>
        <w:numPr>
          <w:ilvl w:val="0"/>
          <w:numId w:val="1011"/>
        </w:numPr>
      </w:pPr>
      <w:r>
        <w:t xml:space="preserve">Sharma, S., et al. (2022). Digital misinformation and vaccine hesitancy: A review of the current landscape in India.</w:t>
      </w:r>
      <w:r>
        <w:t xml:space="preserve"> </w:t>
      </w:r>
      <w:r>
        <w:rPr>
          <w:i/>
          <w:iCs/>
        </w:rPr>
        <w:t xml:space="preserve">Journal of Education and Health Promotion</w:t>
      </w:r>
      <w:r>
        <w:t xml:space="preserve">, 11(1), 87.</w:t>
      </w:r>
    </w:p>
    <w:p>
      <w:pPr>
        <w:pStyle w:val="Compact"/>
        <w:numPr>
          <w:ilvl w:val="0"/>
          <w:numId w:val="1011"/>
        </w:numPr>
      </w:pPr>
      <w:r>
        <w:t xml:space="preserve">Troiano, G., &amp; Nardi, A. (2021). Vaccine hesitancy in the era of COVID-19.</w:t>
      </w:r>
      <w:r>
        <w:t xml:space="preserve"> </w:t>
      </w:r>
      <w:r>
        <w:rPr>
          <w:i/>
          <w:iCs/>
        </w:rPr>
        <w:t xml:space="preserve">Public Health</w:t>
      </w:r>
      <w:r>
        <w:t xml:space="preserve">, 194, 245-251.</w:t>
      </w:r>
    </w:p>
    <w:p>
      <w:pPr>
        <w:pStyle w:val="Compact"/>
        <w:numPr>
          <w:ilvl w:val="0"/>
          <w:numId w:val="1011"/>
        </w:numPr>
      </w:pPr>
      <w:r>
        <w:t xml:space="preserve">Marmot, M., et al. (2008). Closing the gap in a generation: health equity through action on the social determinants of health.</w:t>
      </w:r>
      <w:r>
        <w:t xml:space="preserve"> </w:t>
      </w:r>
      <w:r>
        <w:rPr>
          <w:i/>
          <w:iCs/>
        </w:rPr>
        <w:t xml:space="preserve">The Lancet</w:t>
      </w:r>
      <w:r>
        <w:t xml:space="preserve">, 372(9650), 1661-1669.</w:t>
      </w:r>
    </w:p>
    <w:p>
      <w:r>
        <w:pict>
          <v:rect style="width:0;height:1.5pt" o:hralign="center" o:hrstd="t" o:hr="t"/>
        </w:pict>
      </w:r>
    </w:p>
    <w:bookmarkEnd w:id="51"/>
    <w:bookmarkStart w:id="55" w:name="supplementary-materials"/>
    <w:p>
      <w:pPr>
        <w:pStyle w:val="Heading2"/>
      </w:pPr>
      <w:r>
        <w:t xml:space="preserve">Supplementary Materials</w:t>
      </w:r>
    </w:p>
    <w:bookmarkStart w:id="52" w:name="data-availability"/>
    <w:p>
      <w:pPr>
        <w:pStyle w:val="Heading3"/>
      </w:pPr>
      <w:r>
        <w:t xml:space="preserve">Data Availability</w:t>
      </w:r>
    </w:p>
    <w:p>
      <w:pPr>
        <w:pStyle w:val="FirstParagraph"/>
      </w:pPr>
      <w:r>
        <w:t xml:space="preserve">The NFHS-5 data used in this study are publicly available from the DHS Program website (https://dhsprogram.com/data/dataset/India_Standard-DHS_2021.cfm). Social media data were collected from public sources and anonymized for analysis.</w:t>
      </w:r>
    </w:p>
    <w:bookmarkEnd w:id="52"/>
    <w:bookmarkStart w:id="53" w:name="statistical-code"/>
    <w:p>
      <w:pPr>
        <w:pStyle w:val="Heading3"/>
      </w:pPr>
      <w:r>
        <w:t xml:space="preserve">Statistical Code</w:t>
      </w:r>
    </w:p>
    <w:p>
      <w:pPr>
        <w:pStyle w:val="FirstParagraph"/>
      </w:pPr>
      <w:r>
        <w:t xml:space="preserve">All statistical analyses were conducted using Python 3.8+ with the following packages:</w:t>
      </w:r>
      <w:r>
        <w:t xml:space="preserve"> </w:t>
      </w:r>
      <w:r>
        <w:t xml:space="preserve">- pandas (data manipulation)</w:t>
      </w:r>
      <w:r>
        <w:t xml:space="preserve"> </w:t>
      </w:r>
      <w:r>
        <w:t xml:space="preserve">- statsmodels (regression analysis)</w:t>
      </w:r>
      <w:r>
        <w:t xml:space="preserve"> </w:t>
      </w:r>
      <w:r>
        <w:t xml:space="preserve">- scikit-learn (machine learning)</w:t>
      </w:r>
      <w:r>
        <w:t xml:space="preserve"> </w:t>
      </w:r>
      <w:r>
        <w:t xml:space="preserve">- textblob (sentiment analysis)</w:t>
      </w:r>
      <w:r>
        <w:t xml:space="preserve"> </w:t>
      </w:r>
      <w:r>
        <w:t xml:space="preserve">- plotly (visualization)</w:t>
      </w:r>
    </w:p>
    <w:bookmarkEnd w:id="53"/>
    <w:bookmarkStart w:id="54" w:name="additional-tables-and-figures"/>
    <w:p>
      <w:pPr>
        <w:pStyle w:val="Heading3"/>
      </w:pPr>
      <w:r>
        <w:t xml:space="preserve">Additional Tables and Figures</w:t>
      </w:r>
    </w:p>
    <w:p>
      <w:pPr>
        <w:pStyle w:val="FirstParagraph"/>
      </w:pPr>
      <w:r>
        <w:t xml:space="preserve">Detailed statistical tables and supplementary figures are available in the online appendix, including:</w:t>
      </w:r>
      <w:r>
        <w:t xml:space="preserve"> </w:t>
      </w:r>
      <w:r>
        <w:t xml:space="preserve">- Complete regression model outputs</w:t>
      </w:r>
      <w:r>
        <w:t xml:space="preserve"> </w:t>
      </w:r>
      <w:r>
        <w:t xml:space="preserve">- State-wise hesitancy maps</w:t>
      </w:r>
      <w:r>
        <w:t xml:space="preserve"> </w:t>
      </w:r>
      <w:r>
        <w:t xml:space="preserve">- Temporal sentiment trends</w:t>
      </w:r>
      <w:r>
        <w:t xml:space="preserve"> </w:t>
      </w:r>
      <w:r>
        <w:t xml:space="preserve">- Sensitivity analyses</w:t>
      </w:r>
    </w:p>
    <w:p>
      <w:r>
        <w:pict>
          <v:rect style="width:0;height:1.5pt" o:hralign="center" o:hrstd="t" o:hr="t"/>
        </w:pict>
      </w:r>
    </w:p>
    <w:bookmarkEnd w:id="54"/>
    <w:bookmarkEnd w:id="55"/>
    <w:bookmarkStart w:id="56" w:name="acknowledgments"/>
    <w:p>
      <w:pPr>
        <w:pStyle w:val="Heading2"/>
      </w:pPr>
      <w:r>
        <w:t xml:space="preserve">Acknowledgments</w:t>
      </w:r>
    </w:p>
    <w:p>
      <w:pPr>
        <w:pStyle w:val="FirstParagraph"/>
      </w:pPr>
      <w:r>
        <w:t xml:space="preserve">This research was conducted as part of ongoing public health research initiatives at Shridevi Institute of Medical Sciences and Research Hospital (SIMSRH), Tumkur, Karnataka, India. The author acknowledges the support of the institutional research committee and technical assistance from the Department of Community Medicine.</w:t>
      </w:r>
    </w:p>
    <w:p>
      <w:pPr>
        <w:pStyle w:val="BodyText"/>
      </w:pPr>
      <w:r>
        <w:rPr>
          <w:b/>
          <w:bCs/>
        </w:rPr>
        <w:t xml:space="preserve">Funding:</w:t>
      </w:r>
      <w:r>
        <w:t xml:space="preserve"> </w:t>
      </w:r>
      <w:r>
        <w:t xml:space="preserve">This study received no external funding and was conducted as part of routine academic research activities.</w:t>
      </w:r>
    </w:p>
    <w:p>
      <w:pPr>
        <w:pStyle w:val="BodyText"/>
      </w:pPr>
      <w:r>
        <w:rPr>
          <w:b/>
          <w:bCs/>
        </w:rPr>
        <w:t xml:space="preserve">Conflicts of Interest:</w:t>
      </w:r>
      <w:r>
        <w:t xml:space="preserve"> </w:t>
      </w:r>
      <w:r>
        <w:t xml:space="preserve">The author declares no conflicts of interest.</w:t>
      </w:r>
    </w:p>
    <w:p>
      <w:pPr>
        <w:pStyle w:val="BodyText"/>
      </w:pPr>
      <w:r>
        <w:rPr>
          <w:b/>
          <w:bCs/>
        </w:rPr>
        <w:t xml:space="preserve">Corresponding Author:</w:t>
      </w:r>
      <w:r>
        <w:t xml:space="preserve"> </w:t>
      </w:r>
      <w:r>
        <w:t xml:space="preserve">Dr. Siddalingaiah H S, MD, MPH</w:t>
      </w:r>
      <w:r>
        <w:t xml:space="preserve"> </w:t>
      </w:r>
      <w:r>
        <w:t xml:space="preserve">Professor and Head, Department of Community Medicine</w:t>
      </w:r>
      <w:r>
        <w:t xml:space="preserve"> </w:t>
      </w:r>
      <w:r>
        <w:t xml:space="preserve">Shridevi Institute of Medical Sciences and Research Hospital (SIMSRH)</w:t>
      </w:r>
      <w:r>
        <w:t xml:space="preserve"> </w:t>
      </w:r>
      <w:r>
        <w:t xml:space="preserve">Tumkur, Karnataka, India</w:t>
      </w:r>
      <w:r>
        <w:t xml:space="preserve"> </w:t>
      </w:r>
      <w:r>
        <w:t xml:space="preserve">Email: hssling@yahoo.com</w:t>
      </w:r>
      <w:r>
        <w:t xml:space="preserve"> </w:t>
      </w:r>
      <w:r>
        <w:t xml:space="preserve">Phone: +91-8941087719</w:t>
      </w:r>
    </w:p>
    <w:p>
      <w:r>
        <w:pict>
          <v:rect style="width:0;height:1.5pt" o:hralign="center" o:hrstd="t" o:hr="t"/>
        </w:pict>
      </w:r>
    </w:p>
    <w:p>
      <w:pPr>
        <w:pStyle w:val="FirstParagraph"/>
      </w:pPr>
      <w:r>
        <w:rPr>
          <w:i/>
          <w:iCs/>
        </w:rPr>
        <w:t xml:space="preserve">This manuscript was generated using automated analysis tools and represents comprehensive findings from the vaccine hesitancy research project. The document includes detailed methodology, extensive results, and evidence-based recommendations suitable for journal submission. Please cite appropriately when referencing this work.</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2025-10-25T19:30:50Z</dcterms:created>
  <dcterms:modified xsi:type="dcterms:W3CDTF">2025-10-25T19:30:50Z</dcterms:modified>
</cp:coreProperties>
</file>

<file path=docProps/custom.xml><?xml version="1.0" encoding="utf-8"?>
<Properties xmlns="http://schemas.openxmlformats.org/officeDocument/2006/custom-properties" xmlns:vt="http://schemas.openxmlformats.org/officeDocument/2006/docPropsVTypes"/>
</file>