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Point-by-Point Response to Reviewers</w:t>
      </w:r>
    </w:p>
    <w:p>
      <w:r>
        <w:t>Manuscript: “Baseline whole-blood transcriptomic risk stratification for unfavourable tuberculosis treatment outcome” (Submission 28df71d5-9f1a-4e4d-8cd3-8fcf4ef17dfb). Discover Artificial Intelligence.</w:t>
      </w:r>
    </w:p>
    <w:p>
      <w:r>
        <w:rPr>
          <w:i/>
        </w:rPr>
        <w:t>We thank the Editor and three reviewers for rigorous, constructive criticism. We have comprehensively revised the manuscript: removing all causal/‘first map’ language, reframing the work as an exploratory, associative BASELINE risk-stratification study, rebuilding every analysis on a leakage-free pre-treatment cohort, and reporting results with full transparency including their limitations. Below, each comment is answered individually with the manuscript location. Revised text is highlighted in the manuscript.</w:t>
      </w:r>
    </w:p>
    <w:p>
      <w:r>
        <w:rPr>
          <w:b/>
          <w:color w:val="1F3B73"/>
          <w:sz w:val="24"/>
        </w:rPr>
        <w:t>Editor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Reviewer comment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 response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Response-to-reviewers file (point-by-point).</w:t>
            </w:r>
          </w:p>
        </w:tc>
        <w:tc>
          <w:tcPr>
            <w:tcW w:type="dxa" w:w="2880"/>
          </w:tcPr>
          <w:p>
            <w:r>
              <w:t>Provided (this document), with per-comment responses and locations.</w:t>
            </w:r>
          </w:p>
        </w:tc>
        <w:tc>
          <w:tcPr>
            <w:tcW w:type="dxa" w:w="2880"/>
          </w:tcPr>
          <w:p>
            <w:r>
              <w:t>This file</w:t>
            </w:r>
          </w:p>
        </w:tc>
      </w:tr>
      <w:tr>
        <w:tc>
          <w:tcPr>
            <w:tcW w:type="dxa" w:w="2880"/>
          </w:tcPr>
          <w:p>
            <w:r>
              <w:t>Manuscript with tracked changes / highlighting (mandatory).</w:t>
            </w:r>
          </w:p>
        </w:tc>
        <w:tc>
          <w:tcPr>
            <w:tcW w:type="dxa" w:w="2880"/>
          </w:tcPr>
          <w:p>
            <w:r>
              <w:t>All revised/added content is highlighted in yellow in the revised manuscript.</w:t>
            </w:r>
          </w:p>
        </w:tc>
        <w:tc>
          <w:tcPr>
            <w:tcW w:type="dxa" w:w="2880"/>
          </w:tcPr>
          <w:p>
            <w:r>
              <w:t>Throughout</w:t>
            </w:r>
          </w:p>
        </w:tc>
      </w:tr>
      <w:tr>
        <w:tc>
          <w:tcPr>
            <w:tcW w:type="dxa" w:w="2880"/>
          </w:tcPr>
          <w:p>
            <w:r>
              <w:t>Add a 'Declarations' section with Ethical approval, Consent to participate, Consent to publish as separate subheadings.</w:t>
            </w:r>
          </w:p>
        </w:tc>
        <w:tc>
          <w:tcPr>
            <w:tcW w:type="dxa" w:w="2880"/>
          </w:tcPr>
          <w:p>
            <w:r>
              <w:t>Added a dedicated Declarations section with these three subheadings addressed individually, plus data/code availability, funding, competing interests.</w:t>
            </w:r>
          </w:p>
        </w:tc>
        <w:tc>
          <w:tcPr>
            <w:tcW w:type="dxa" w:w="2880"/>
          </w:tcPr>
          <w:p>
            <w:r>
              <w:t>Declarations</w:t>
            </w:r>
          </w:p>
        </w:tc>
      </w:tr>
      <w:tr>
        <w:tc>
          <w:tcPr>
            <w:tcW w:type="dxa" w:w="2880"/>
          </w:tcPr>
          <w:p>
            <w:r>
              <w:t>Concerns re novelty, methodology, experimental evaluation, statistical analysis.</w:t>
            </w:r>
          </w:p>
        </w:tc>
        <w:tc>
          <w:tcPr>
            <w:tcW w:type="dxa" w:w="2880"/>
          </w:tcPr>
          <w:p>
            <w:r>
              <w:t>Addressed across the revision: novelty reframed and prior work cited (R3.1); leakage-free baseline methodology; full metric suite with CIs; effect sizes and FDR throughout.</w:t>
            </w:r>
          </w:p>
        </w:tc>
        <w:tc>
          <w:tcPr>
            <w:tcW w:type="dxa" w:w="2880"/>
          </w:tcPr>
          <w:p>
            <w:r>
              <w:t>Sec 2–3</w:t>
            </w:r>
          </w:p>
        </w:tc>
      </w:tr>
    </w:tbl>
    <w:p/>
    <w:p>
      <w:r>
        <w:rPr>
          <w:b/>
          <w:color w:val="1F3B73"/>
          <w:sz w:val="24"/>
        </w:rPr>
        <w:t>Reviewer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Reviewer comment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 response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Independent validation of ML performance in ≥2 separate studies; cross-validation is weak and signatures don't generalize.</w:t>
            </w:r>
          </w:p>
        </w:tc>
        <w:tc>
          <w:tcPr>
            <w:tcW w:type="dxa" w:w="2880"/>
          </w:tcPr>
          <w:p>
            <w:r>
              <w:t>We agree generalisation is essential. We rebuilt evaluation on leakage-free pre-treatment samples with repeated stratified CV, leave-one-out CV and bootstrap CIs, and honestly report modest discrimination (ROC-AUC 0.67 (95% CI 0.38–0.89)). A genuine GEO search identified no usable outcome-labelled independent cohort (closest, GSE193979, lacks public per-patient outcomes and a public sample bridge); we document this in a Supplementary exclusion table (per Reviewer 2's option) and provide a label-free external portability check (ρ=−0.41). We also temper all generalisation claims.</w:t>
            </w:r>
          </w:p>
        </w:tc>
        <w:tc>
          <w:tcPr>
            <w:tcW w:type="dxa" w:w="2880"/>
          </w:tcPr>
          <w:p>
            <w:r>
              <w:t>Sec 2.3, 3.2, 3.8; Table S5</w:t>
            </w:r>
          </w:p>
        </w:tc>
      </w:tr>
      <w:tr>
        <w:tc>
          <w:tcPr>
            <w:tcW w:type="dxa" w:w="2880"/>
          </w:tcPr>
          <w:p>
            <w:r>
              <w:t>Writing reads like a student report; lacks context, data description, rationale; abrupt transitions; how were mechanisms/features chosen.</w:t>
            </w:r>
          </w:p>
        </w:tc>
        <w:tc>
          <w:tcPr>
            <w:tcW w:type="dxa" w:w="2880"/>
          </w:tcPr>
          <w:p>
            <w:r>
              <w:t>The manuscript was substantially rewritten: expanded Introduction with prior signatures and gaps; a full Methods describing the dataset, inclusion/exclusion, sample/feature counts and preprocessing; and Results that motivate each step. Feature selection (univariate-in-fold + SHAP) and the path from prediction to cellular interpretation are now explicit.</w:t>
            </w:r>
          </w:p>
        </w:tc>
        <w:tc>
          <w:tcPr>
            <w:tcW w:type="dxa" w:w="2880"/>
          </w:tcPr>
          <w:p>
            <w:r>
              <w:t>Sec 1–3</w:t>
            </w:r>
          </w:p>
        </w:tc>
      </w:tr>
      <w:tr>
        <w:tc>
          <w:tcPr>
            <w:tcW w:type="dxa" w:w="2880"/>
          </w:tcPr>
          <w:p>
            <w:r>
              <w:t>Benchmark/compare your ML model against similar approaches in literature.</w:t>
            </w:r>
          </w:p>
        </w:tc>
        <w:tc>
          <w:tcPr>
            <w:tcW w:type="dxa" w:w="2880"/>
          </w:tcPr>
          <w:p>
            <w:r>
              <w:t>Added a benchmark table (Table S6) comparing against Thompson 2017, TANDEM 2022, RePORT-Brazil 2025 and the multimodal/EMR/multi-omic ML models (PMIDs 38357663, 38380250, 38514736). We position our contribution as cellular resolution and confounder transparency, not predictive superiority.</w:t>
            </w:r>
          </w:p>
        </w:tc>
        <w:tc>
          <w:tcPr>
            <w:tcW w:type="dxa" w:w="2880"/>
          </w:tcPr>
          <w:p>
            <w:r>
              <w:t>Sec 3.8; Table S6</w:t>
            </w:r>
          </w:p>
        </w:tc>
      </w:tr>
      <w:tr>
        <w:tc>
          <w:tcPr>
            <w:tcW w:type="dxa" w:w="2880"/>
          </w:tcPr>
          <w:p>
            <w:r>
              <w:t>Define DOTS in the Introduction.</w:t>
            </w:r>
          </w:p>
        </w:tc>
        <w:tc>
          <w:tcPr>
            <w:tcW w:type="dxa" w:w="2880"/>
          </w:tcPr>
          <w:p>
            <w:r>
              <w:t>DOTS is now defined at first use ('Directly Observed Treatment, Short-course').</w:t>
            </w:r>
          </w:p>
        </w:tc>
        <w:tc>
          <w:tcPr>
            <w:tcW w:type="dxa" w:w="2880"/>
          </w:tcPr>
          <w:p>
            <w:r>
              <w:t>Sec 1</w:t>
            </w:r>
          </w:p>
        </w:tc>
      </w:tr>
      <w:tr>
        <w:tc>
          <w:tcPr>
            <w:tcW w:type="dxa" w:w="2880"/>
          </w:tcPr>
          <w:p>
            <w:r>
              <w:t>Specify what has been accomplished in literature on the Resolution and Logic gaps.</w:t>
            </w:r>
          </w:p>
        </w:tc>
        <w:tc>
          <w:tcPr>
            <w:tcW w:type="dxa" w:w="2880"/>
          </w:tcPr>
          <w:p>
            <w:r>
              <w:t>The Introduction now cites prior bulk-signature work and its resolution limitation explicitly; we dropped the 'Logic gap'/causal framing entirely and replaced it with an associative, confounder-aware framing.</w:t>
            </w:r>
          </w:p>
        </w:tc>
        <w:tc>
          <w:tcPr>
            <w:tcW w:type="dxa" w:w="2880"/>
          </w:tcPr>
          <w:p>
            <w:r>
              <w:t>Sec 1</w:t>
            </w:r>
          </w:p>
        </w:tc>
      </w:tr>
      <w:tr>
        <w:tc>
          <w:tcPr>
            <w:tcW w:type="dxa" w:w="2880"/>
          </w:tcPr>
          <w:p>
            <w:r>
              <w:t>What features were used for training the ML models? Provide details.</w:t>
            </w:r>
          </w:p>
        </w:tc>
        <w:tc>
          <w:tcPr>
            <w:tcW w:type="dxa" w:w="2880"/>
          </w:tcPr>
          <w:p>
            <w:r>
              <w:t>Methods now specify 16,147 gene features with univariate selection inside each fold; the full ranked predictor list with HGNC symbols is in Table S2.</w:t>
            </w:r>
          </w:p>
        </w:tc>
        <w:tc>
          <w:tcPr>
            <w:tcW w:type="dxa" w:w="2880"/>
          </w:tcPr>
          <w:p>
            <w:r>
              <w:t>Sec 2.3; Table S2</w:t>
            </w:r>
          </w:p>
        </w:tc>
      </w:tr>
      <w:tr>
        <w:tc>
          <w:tcPr>
            <w:tcW w:type="dxa" w:w="2880"/>
          </w:tcPr>
          <w:p>
            <w:r>
              <w:t>ROC-AUC in text conflicts with Figure 1.</w:t>
            </w:r>
          </w:p>
        </w:tc>
        <w:tc>
          <w:tcPr>
            <w:tcW w:type="dxa" w:w="2880"/>
          </w:tcPr>
          <w:p>
            <w:r>
              <w:t>Resolved: all performance numbers are regenerated from a single pipeline and Figure 1 and the text now report the same values (ROC-AUC 0.67 (95% CI 0.38–0.89)).</w:t>
            </w:r>
          </w:p>
        </w:tc>
        <w:tc>
          <w:tcPr>
            <w:tcW w:type="dxa" w:w="2880"/>
          </w:tcPr>
          <w:p>
            <w:r>
              <w:t>Fig 1; Sec 3.2</w:t>
            </w:r>
          </w:p>
        </w:tc>
      </w:tr>
      <w:tr>
        <w:tc>
          <w:tcPr>
            <w:tcW w:type="dxa" w:w="2880"/>
          </w:tcPr>
          <w:p>
            <w:r>
              <w:t>Figure 2: what do 0 and 1 correspond to — success or failure?</w:t>
            </w:r>
          </w:p>
        </w:tc>
        <w:tc>
          <w:tcPr>
            <w:tcW w:type="dxa" w:w="2880"/>
          </w:tcPr>
          <w:p>
            <w:r>
              <w:t>Figure legends now state explicitly: 0 = cure, 1 = treatment failure.</w:t>
            </w:r>
          </w:p>
        </w:tc>
        <w:tc>
          <w:tcPr>
            <w:tcW w:type="dxa" w:w="2880"/>
          </w:tcPr>
          <w:p>
            <w:r>
              <w:t>Fig 1–2 legends</w:t>
            </w:r>
          </w:p>
        </w:tc>
      </w:tr>
      <w:tr>
        <w:tc>
          <w:tcPr>
            <w:tcW w:type="dxa" w:w="2880"/>
          </w:tcPr>
          <w:p>
            <w:r>
              <w:t>Policy: how can patients be stratified for transcriptomic failure risk at the start, if these signatures appear later in treatment?</w:t>
            </w:r>
          </w:p>
        </w:tc>
        <w:tc>
          <w:tcPr>
            <w:tcW w:type="dxa" w:w="2880"/>
          </w:tcPr>
          <w:p>
            <w:r>
              <w:t>An excellent point that we now make central. We restrict to BASELINE (pre-treatment) samples and show baseline discrimination is only modest; we demonstrate quantitatively that the stronger signal in the original submission was a timepoint/leakage artefact. Policy claims are removed.</w:t>
            </w:r>
          </w:p>
        </w:tc>
        <w:tc>
          <w:tcPr>
            <w:tcW w:type="dxa" w:w="2880"/>
          </w:tcPr>
          <w:p>
            <w:r>
              <w:t>Sec 3.2; Disc</w:t>
            </w:r>
          </w:p>
        </w:tc>
      </w:tr>
    </w:tbl>
    <w:p/>
    <w:p>
      <w:r>
        <w:rPr>
          <w:b/>
          <w:color w:val="1F3B73"/>
          <w:sz w:val="24"/>
        </w:rPr>
        <w:t>Reviewer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Reviewer comment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 response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Class distribution must appear prominently in main Methods.</w:t>
            </w:r>
          </w:p>
        </w:tc>
        <w:tc>
          <w:tcPr>
            <w:tcW w:type="dxa" w:w="2880"/>
          </w:tcPr>
          <w:p>
            <w:r>
              <w:t>Class distribution (7 failure vs 83 cure; prevalence 7.8%) is now stated in the main Methods and Results, with explicit note that it governs all metrics.</w:t>
            </w:r>
          </w:p>
        </w:tc>
        <w:tc>
          <w:tcPr>
            <w:tcW w:type="dxa" w:w="2880"/>
          </w:tcPr>
          <w:p>
            <w:r>
              <w:t>Sec 2.1, 3.1</w:t>
            </w:r>
          </w:p>
        </w:tc>
      </w:tr>
      <w:tr>
        <w:tc>
          <w:tcPr>
            <w:tcW w:type="dxa" w:w="2880"/>
          </w:tcPr>
          <w:p>
            <w:r>
              <w:t>AUC alone insufficient: report precision, recall, F1, confusion matrix and a Precision-Recall curve at the chosen operating threshold.</w:t>
            </w:r>
          </w:p>
        </w:tc>
        <w:tc>
          <w:tcPr>
            <w:tcW w:type="dxa" w:w="2880"/>
          </w:tcPr>
          <w:p>
            <w:r>
              <w:t>All reported: PR curve (Fig 1B), confusion matrix (Fig 1D), and sensitivity/specificity/PPV/NPV/F1/MCC at the Youden operating point.</w:t>
            </w:r>
          </w:p>
        </w:tc>
        <w:tc>
          <w:tcPr>
            <w:tcW w:type="dxa" w:w="2880"/>
          </w:tcPr>
          <w:p>
            <w:r>
              <w:t>Fig 1; Sec 3.2; Table S1</w:t>
            </w:r>
          </w:p>
        </w:tc>
      </w:tr>
      <w:tr>
        <w:tc>
          <w:tcPr>
            <w:tcW w:type="dxa" w:w="2880"/>
          </w:tcPr>
          <w:p>
            <w:r>
              <w:t>External validation absent; validate on an independent GEO cohort, or document no suitable dataset with an exclusion table; deposit model on GitHub.</w:t>
            </w:r>
          </w:p>
        </w:tc>
        <w:tc>
          <w:tcPr>
            <w:tcW w:type="dxa" w:w="2880"/>
          </w:tcPr>
          <w:p>
            <w:r>
              <w:t>We took the exclusion-table option you offered: a documented GEO search (Table S5) shows no usable outcome-labelled cohort; we add a label-free external portability check and deposit the frozen model and code on GitHub.</w:t>
            </w:r>
          </w:p>
        </w:tc>
        <w:tc>
          <w:tcPr>
            <w:tcW w:type="dxa" w:w="2880"/>
          </w:tcPr>
          <w:p>
            <w:r>
              <w:t>Sec 3.8; Table S5; Code availability</w:t>
            </w:r>
          </w:p>
        </w:tc>
      </w:tr>
      <w:tr>
        <w:tc>
          <w:tcPr>
            <w:tcW w:type="dxa" w:w="2880"/>
          </w:tcPr>
          <w:p>
            <w:r>
              <w:t>Full RFE feature list, both signatures, and full Supplementary Table 1 are inaccessible — findings unverifiable.</w:t>
            </w:r>
          </w:p>
        </w:tc>
        <w:tc>
          <w:tcPr>
            <w:tcW w:type="dxa" w:w="2880"/>
          </w:tcPr>
          <w:p>
            <w:r>
              <w:t>The full ranked feature list with symbols (Table S2), both cell-type signatures (Methods 2.5; Table S8), and complete result tables are now provided, plus a public repository for verification.</w:t>
            </w:r>
          </w:p>
        </w:tc>
        <w:tc>
          <w:tcPr>
            <w:tcW w:type="dxa" w:w="2880"/>
          </w:tcPr>
          <w:p>
            <w:r>
              <w:t>Tables S2, S8</w:t>
            </w:r>
          </w:p>
        </w:tc>
      </w:tr>
      <w:tr>
        <w:tc>
          <w:tcPr>
            <w:tcW w:type="dxa" w:w="2880"/>
          </w:tcPr>
          <w:p>
            <w:r>
              <w:t>SHAP-based interpretation and formal DEG with volcano and pathway enrichment strongly recommended.</w:t>
            </w:r>
          </w:p>
        </w:tc>
        <w:tc>
          <w:tcPr>
            <w:tcW w:type="dxa" w:w="2880"/>
          </w:tcPr>
          <w:p>
            <w:r>
              <w:t>Added: SHAP summary/bar (Methods 2.4), formal Mann-Whitney DEG with true-log2 volcano (Fig S1; Table S3) and enrichment (Table S10).</w:t>
            </w:r>
          </w:p>
        </w:tc>
        <w:tc>
          <w:tcPr>
            <w:tcW w:type="dxa" w:w="2880"/>
          </w:tcPr>
          <w:p>
            <w:r>
              <w:t>Sec 2.4, 3.3</w:t>
            </w:r>
          </w:p>
        </w:tc>
      </w:tr>
      <w:tr>
        <w:tc>
          <w:tcPr>
            <w:tcW w:type="dxa" w:w="2880"/>
          </w:tcPr>
          <w:p>
            <w:r>
              <w:t>PBMC3k lacks neutrophils and is inappropriate for neutrophil-signature validation; use whole-blood scRNA.</w:t>
            </w:r>
          </w:p>
        </w:tc>
        <w:tc>
          <w:tcPr>
            <w:tcW w:type="dxa" w:w="2880"/>
          </w:tcPr>
          <w:p>
            <w:r>
              <w:t>We removed the PBMC3k neutrophil validation and instead validate cell-type specificity in the granulocyte-containing Human Protein Atlas blood atlas; 10/12 neutrophil-signature genes are neutrophil-specific.</w:t>
            </w:r>
          </w:p>
        </w:tc>
        <w:tc>
          <w:tcPr>
            <w:tcW w:type="dxa" w:w="2880"/>
          </w:tcPr>
          <w:p>
            <w:r>
              <w:t>Sec 2.6, 3.5; Fig 3</w:t>
            </w:r>
          </w:p>
        </w:tc>
      </w:tr>
      <w:tr>
        <w:tc>
          <w:tcPr>
            <w:tcW w:type="dxa" w:w="2880"/>
          </w:tcPr>
          <w:p>
            <w:r>
              <w:t>Alignment between CIBERSORT deconvolution and ML findings asserted but never quantified.</w:t>
            </w:r>
          </w:p>
        </w:tc>
        <w:tc>
          <w:tcPr>
            <w:tcW w:type="dxa" w:w="2880"/>
          </w:tcPr>
          <w:p>
            <w:r>
              <w:t>Now quantified: the model's failure probability correlates with the deconvolved neutrophil score (Spearman ρ=0.66) and inversely with the T-cell score (ρ=−0.66), p≈1e-12.</w:t>
            </w:r>
          </w:p>
        </w:tc>
        <w:tc>
          <w:tcPr>
            <w:tcW w:type="dxa" w:w="2880"/>
          </w:tcPr>
          <w:p>
            <w:r>
              <w:t>Sec 3.4</w:t>
            </w:r>
          </w:p>
        </w:tc>
      </w:tr>
      <w:tr>
        <w:tc>
          <w:tcPr>
            <w:tcW w:type="dxa" w:w="2880"/>
          </w:tcPr>
          <w:p>
            <w:r>
              <w:t>Remove all causal language for Glasso hubs; GGM edges are undirected conditional associations and the outcome is not an input to Glasso.</w:t>
            </w:r>
          </w:p>
        </w:tc>
        <w:tc>
          <w:tcPr>
            <w:tcW w:type="dxa" w:w="2880"/>
          </w:tcPr>
          <w:p>
            <w:r>
              <w:t>Done. We describe the network strictly as undirected conditional associations; hubs are 'hub genes', not regulators/targets; we state the outcome is not an input.</w:t>
            </w:r>
          </w:p>
        </w:tc>
        <w:tc>
          <w:tcPr>
            <w:tcW w:type="dxa" w:w="2880"/>
          </w:tcPr>
          <w:p>
            <w:r>
              <w:t>Sec 2.7, 3.7</w:t>
            </w:r>
          </w:p>
        </w:tc>
      </w:tr>
      <w:tr>
        <w:tc>
          <w:tcPr>
            <w:tcW w:type="dxa" w:w="2880"/>
          </w:tcPr>
          <w:p>
            <w:r>
              <w:t>Neutrophil-high/T-cell-low may be reactive/confounded; HIV, diabetes, bacterial load, drug resistance unaddressed.</w:t>
            </w:r>
          </w:p>
        </w:tc>
        <w:tc>
          <w:tcPr>
            <w:tcW w:type="dxa" w:w="2880"/>
          </w:tcPr>
          <w:p>
            <w:r>
              <w:t>Added a confounder audit: HIV and drug resistance were exclusion criteria in the source cohort; bacterial load (MGIT/Xpert) is adjusted for and partially attenuates the association; sex is adjusted and is non-significant. Diabetes is unrecorded (stated as a limitation).</w:t>
            </w:r>
          </w:p>
        </w:tc>
        <w:tc>
          <w:tcPr>
            <w:tcW w:type="dxa" w:w="2880"/>
          </w:tcPr>
          <w:p>
            <w:r>
              <w:t>Sec 2.8, 3.6; Table S7</w:t>
            </w:r>
          </w:p>
        </w:tc>
      </w:tr>
      <w:tr>
        <w:tc>
          <w:tcPr>
            <w:tcW w:type="dxa" w:w="2880"/>
          </w:tcPr>
          <w:p>
            <w:r>
              <w:t>Foreground baseline patient risk stratification as the defensible application.</w:t>
            </w:r>
          </w:p>
        </w:tc>
        <w:tc>
          <w:tcPr>
            <w:tcW w:type="dxa" w:w="2880"/>
          </w:tcPr>
          <w:p>
            <w:r>
              <w:t>This is now the central framing of the paper, from title to conclusions.</w:t>
            </w:r>
          </w:p>
        </w:tc>
        <w:tc>
          <w:tcPr>
            <w:tcW w:type="dxa" w:w="2880"/>
          </w:tcPr>
          <w:p>
            <w:r>
              <w:t>Throughout</w:t>
            </w:r>
          </w:p>
        </w:tc>
      </w:tr>
      <w:tr>
        <w:tc>
          <w:tcPr>
            <w:tcW w:type="dxa" w:w="2880"/>
          </w:tcPr>
          <w:p>
            <w:r>
              <w:t>Temper claims of directly informing the WHO End TB Strategy.</w:t>
            </w:r>
          </w:p>
        </w:tc>
        <w:tc>
          <w:tcPr>
            <w:tcW w:type="dxa" w:w="2880"/>
          </w:tcPr>
          <w:p>
            <w:r>
              <w:t>All WHO End TB / clinical-readiness claims removed; we explicitly state the signature is not yet clinically actionable.</w:t>
            </w:r>
          </w:p>
        </w:tc>
        <w:tc>
          <w:tcPr>
            <w:tcW w:type="dxa" w:w="2880"/>
          </w:tcPr>
          <w:p>
            <w:r>
              <w:t>Disc 4</w:t>
            </w:r>
          </w:p>
        </w:tc>
      </w:tr>
      <w:tr>
        <w:tc>
          <w:tcPr>
            <w:tcW w:type="dxa" w:w="2880"/>
          </w:tcPr>
          <w:p>
            <w:r>
              <w:t>Mann-Whitney results need violin plots, distributional assessment, and rank-biserial effect sizes alongside p-values.</w:t>
            </w:r>
          </w:p>
        </w:tc>
        <w:tc>
          <w:tcPr>
            <w:tcW w:type="dxa" w:w="2880"/>
          </w:tcPr>
          <w:p>
            <w:r>
              <w:t>Added violin plots with individual points and significance annotations (Fig 2) and rank-biserial effect sizes alongside every p-value (Table S4).</w:t>
            </w:r>
          </w:p>
        </w:tc>
        <w:tc>
          <w:tcPr>
            <w:tcW w:type="dxa" w:w="2880"/>
          </w:tcPr>
          <w:p>
            <w:r>
              <w:t>Fig 2; Table S4</w:t>
            </w:r>
          </w:p>
        </w:tc>
      </w:tr>
    </w:tbl>
    <w:p/>
    <w:p>
      <w:r>
        <w:rPr>
          <w:b/>
          <w:color w:val="1F3B73"/>
          <w:sz w:val="24"/>
        </w:rPr>
        <w:t>Reviewer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Reviewer comment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 response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'First multi-omic mechanistic map' is incorrect (PMIDs 38357663, 38380250, 38514736); compare V2 against existing methods.</w:t>
            </w:r>
          </w:p>
        </w:tc>
        <w:tc>
          <w:tcPr>
            <w:tcW w:type="dxa" w:w="2880"/>
          </w:tcPr>
          <w:p>
            <w:r>
              <w:t>We retract the 'first' claim, cite all three works, and add a benchmark table positioning our contribution (baseline cellular-deconvolution + confounder audit) relative to them.</w:t>
            </w:r>
          </w:p>
        </w:tc>
        <w:tc>
          <w:tcPr>
            <w:tcW w:type="dxa" w:w="2880"/>
          </w:tcPr>
          <w:p>
            <w:r>
              <w:t>Sec 1, 3.8; Table S6</w:t>
            </w:r>
          </w:p>
        </w:tc>
      </w:tr>
      <w:tr>
        <w:tc>
          <w:tcPr>
            <w:tcW w:type="dxa" w:w="2880"/>
          </w:tcPr>
          <w:p>
            <w:r>
              <w:t>Insufficient data detail: datasets, processing, inclusion/exclusion, sample and feature counts, meaning of 'standardized pipeline'.</w:t>
            </w:r>
          </w:p>
        </w:tc>
        <w:tc>
          <w:tcPr>
            <w:tcW w:type="dxa" w:w="2880"/>
          </w:tcPr>
          <w:p>
            <w:r>
              <w:t>Methods now give the cohort, inclusion/exclusion, N=90 samples and 16,147 features, and define 'standardised pipeline' as the scripted normalisation/transform/harmonisation sequence released as code.</w:t>
            </w:r>
          </w:p>
        </w:tc>
        <w:tc>
          <w:tcPr>
            <w:tcW w:type="dxa" w:w="2880"/>
          </w:tcPr>
          <w:p>
            <w:r>
              <w:t>Sec 2.1–2.2</w:t>
            </w:r>
          </w:p>
        </w:tc>
      </w:tr>
      <w:tr>
        <w:tc>
          <w:tcPr>
            <w:tcW w:type="dxa" w:w="2880"/>
          </w:tcPr>
          <w:p>
            <w:r>
              <w:t>Feature-importance method not elaborated.</w:t>
            </w:r>
          </w:p>
        </w:tc>
        <w:tc>
          <w:tcPr>
            <w:tcW w:type="dxa" w:w="2880"/>
          </w:tcPr>
          <w:p>
            <w:r>
              <w:t>Methods now describe univariate-in-fold selection and SHAP TreeExplainer; full list in Table S2.</w:t>
            </w:r>
          </w:p>
        </w:tc>
        <w:tc>
          <w:tcPr>
            <w:tcW w:type="dxa" w:w="2880"/>
          </w:tcPr>
          <w:p>
            <w:r>
              <w:t>Sec 2.4; Table S2</w:t>
            </w:r>
          </w:p>
        </w:tc>
      </w:tr>
      <w:tr>
        <w:tc>
          <w:tcPr>
            <w:tcW w:type="dxa" w:w="2880"/>
          </w:tcPr>
          <w:p>
            <w:r>
              <w:t>Evidence not shown for 'Y-linked genes top predictors' and '50 genes correlated'.</w:t>
            </w:r>
          </w:p>
        </w:tc>
        <w:tc>
          <w:tcPr>
            <w:tcW w:type="dxa" w:w="2880"/>
          </w:tcPr>
          <w:p>
            <w:r>
              <w:t>Now shown: the DEG table (Table S3) and a dedicated analysis demonstrate ~1,600 nominally associated genes (0 surviving FDR) and that Y-linked genes are NOT differentially expressed at baseline — they were a sex-confound artefact, now explained.</w:t>
            </w:r>
          </w:p>
        </w:tc>
        <w:tc>
          <w:tcPr>
            <w:tcW w:type="dxa" w:w="2880"/>
          </w:tcPr>
          <w:p>
            <w:r>
              <w:t>Sec 3.3, 3.6; Table S3</w:t>
            </w:r>
          </w:p>
        </w:tc>
      </w:tr>
      <w:tr>
        <w:tc>
          <w:tcPr>
            <w:tcW w:type="dxa" w:w="2880"/>
          </w:tcPr>
          <w:p>
            <w:r>
              <w:t>Neutrophil-high/T-cell-low claim rests on model interpretation; in vitro/in vivo validation should be conducted.</w:t>
            </w:r>
          </w:p>
        </w:tc>
        <w:tc>
          <w:tcPr>
            <w:tcW w:type="dxa" w:w="2880"/>
          </w:tcPr>
          <w:p>
            <w:r>
              <w:t>As a computational study we cannot perform wet-lab work; we instead (i) validate cell-type specificity in a granulocyte-containing reference, (ii) quantify deconvolution–model concordance, and (iii) list flow/single-cell confirmation as an explicit, necessary future step. We also temper the claim (T-cell reduction is non-significant at baseline).</w:t>
            </w:r>
          </w:p>
        </w:tc>
        <w:tc>
          <w:tcPr>
            <w:tcW w:type="dxa" w:w="2880"/>
          </w:tcPr>
          <w:p>
            <w:r>
              <w:t>Sec 3.4–3.5, 4.1</w:t>
            </w:r>
          </w:p>
        </w:tc>
      </w:tr>
      <w:tr>
        <w:tc>
          <w:tcPr>
            <w:tcW w:type="dxa" w:w="2880"/>
          </w:tcPr>
          <w:p>
            <w:r>
              <w:t>Single-cell dataset (Nathan 2021) cited to validate — can the author do this?</w:t>
            </w:r>
          </w:p>
        </w:tc>
        <w:tc>
          <w:tcPr>
            <w:tcW w:type="dxa" w:w="2880"/>
          </w:tcPr>
          <w:p>
            <w:r>
              <w:t>We performed our own cell-type-specificity analysis in the HPA blood atlas (includes neutrophils, unlike PBMC3k), reported quantitatively in Fig 3.</w:t>
            </w:r>
          </w:p>
        </w:tc>
        <w:tc>
          <w:tcPr>
            <w:tcW w:type="dxa" w:w="2880"/>
          </w:tcPr>
          <w:p>
            <w:r>
              <w:t>Sec 3.5; Fig 3</w:t>
            </w:r>
          </w:p>
        </w:tc>
      </w:tr>
      <w:tr>
        <w:tc>
          <w:tcPr>
            <w:tcW w:type="dxa" w:w="2880"/>
          </w:tcPr>
          <w:p>
            <w:r>
              <w:t>References missing for several statements (MDR-TB cost, male neutrophilia, the 'Trojan Horse' section, etc.).</w:t>
            </w:r>
          </w:p>
        </w:tc>
        <w:tc>
          <w:tcPr>
            <w:tcW w:type="dxa" w:w="2880"/>
          </w:tcPr>
          <w:p>
            <w:r>
              <w:t>Unreferenced rhetorical passages were removed or rewritten with citations; the speculative 'Trojan Horse' section was deleted and replaced by a referenced, hedged neutrophil paragraph.</w:t>
            </w:r>
          </w:p>
        </w:tc>
        <w:tc>
          <w:tcPr>
            <w:tcW w:type="dxa" w:w="2880"/>
          </w:tcPr>
          <w:p>
            <w:r>
              <w:t>Sec 1, 4</w:t>
            </w:r>
          </w:p>
        </w:tc>
      </w:tr>
      <w:tr>
        <w:tc>
          <w:tcPr>
            <w:tcW w:type="dxa" w:w="2880"/>
          </w:tcPr>
          <w:p>
            <w:r>
              <w:t>Minor: missing in-text figure references.</w:t>
            </w:r>
          </w:p>
        </w:tc>
        <w:tc>
          <w:tcPr>
            <w:tcW w:type="dxa" w:w="2880"/>
          </w:tcPr>
          <w:p>
            <w:r>
              <w:t>Every figure is now cited in the text at first mention.</w:t>
            </w:r>
          </w:p>
        </w:tc>
        <w:tc>
          <w:tcPr>
            <w:tcW w:type="dxa" w:w="2880"/>
          </w:tcPr>
          <w:p>
            <w:r>
              <w:t>Throughout</w:t>
            </w:r>
          </w:p>
        </w:tc>
      </w:tr>
      <w:tr>
        <w:tc>
          <w:tcPr>
            <w:tcW w:type="dxa" w:w="2880"/>
          </w:tcPr>
          <w:p>
            <w:r>
              <w:t>Minor: terms introduced without context (DOTS, SMOTE, signatures).</w:t>
            </w:r>
          </w:p>
        </w:tc>
        <w:tc>
          <w:tcPr>
            <w:tcW w:type="dxa" w:w="2880"/>
          </w:tcPr>
          <w:p>
            <w:r>
              <w:t>Defined at first use; SMOTE was removed (we use class weighting, now stated).</w:t>
            </w:r>
          </w:p>
        </w:tc>
        <w:tc>
          <w:tcPr>
            <w:tcW w:type="dxa" w:w="2880"/>
          </w:tcPr>
          <w:p>
            <w:r>
              <w:t>Sec 1–2</w:t>
            </w:r>
          </w:p>
        </w:tc>
      </w:tr>
      <w:tr>
        <w:tc>
          <w:tcPr>
            <w:tcW w:type="dxa" w:w="2880"/>
          </w:tcPr>
          <w:p>
            <w:r>
              <w:t>Minor: Figure 2 include significance annotations.</w:t>
            </w:r>
          </w:p>
        </w:tc>
        <w:tc>
          <w:tcPr>
            <w:tcW w:type="dxa" w:w="2880"/>
          </w:tcPr>
          <w:p>
            <w:r>
              <w:t>Added significance brackets/stars and effect sizes to the violin figure.</w:t>
            </w:r>
          </w:p>
        </w:tc>
        <w:tc>
          <w:tcPr>
            <w:tcW w:type="dxa" w:w="2880"/>
          </w:tcPr>
          <w:p>
            <w:r>
              <w:t>Fig 2</w:t>
            </w:r>
          </w:p>
        </w:tc>
      </w:tr>
      <w:tr>
        <w:tc>
          <w:tcPr>
            <w:tcW w:type="dxa" w:w="2880"/>
          </w:tcPr>
          <w:p>
            <w:r>
              <w:t>Minor: Figure 3 lacks cell-type labels and a defined scale.</w:t>
            </w:r>
          </w:p>
        </w:tc>
        <w:tc>
          <w:tcPr>
            <w:tcW w:type="dxa" w:w="2880"/>
          </w:tcPr>
          <w:p>
            <w:r>
              <w:t>The new Fig 3 has labelled blood-cell types and a defined colour scale (row-max-normalised nTPM).</w:t>
            </w:r>
          </w:p>
        </w:tc>
        <w:tc>
          <w:tcPr>
            <w:tcW w:type="dxa" w:w="2880"/>
          </w:tcPr>
          <w:p>
            <w:r>
              <w:t>Fig 3</w:t>
            </w:r>
          </w:p>
        </w:tc>
      </w:tr>
      <w:tr>
        <w:tc>
          <w:tcPr>
            <w:tcW w:type="dxa" w:w="2880"/>
          </w:tcPr>
          <w:p>
            <w:r>
              <w:t>Minor: all figures hard to read; increase font size.</w:t>
            </w:r>
          </w:p>
        </w:tc>
        <w:tc>
          <w:tcPr>
            <w:tcW w:type="dxa" w:w="2880"/>
          </w:tcPr>
          <w:p>
            <w:r>
              <w:t>All figures regenerated at 300 dpi with enlarged fonts and axis labels.</w:t>
            </w:r>
          </w:p>
        </w:tc>
        <w:tc>
          <w:tcPr>
            <w:tcW w:type="dxa" w:w="2880"/>
          </w:tcPr>
          <w:p>
            <w:r>
              <w:t>All figures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