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32"/>
        </w:rPr>
        <w:t>Baseline Blood Transcriptomic Signatures Predict Treatment Failure in Tuberculosis: A Machine Learning Study</w:t>
      </w:r>
    </w:p>
    <w:p/>
    <w:p>
      <w:pPr>
        <w:jc w:val="center"/>
      </w:pPr>
      <w:r>
        <w:rPr>
          <w:rFonts w:ascii="Times New Roman" w:hAnsi="Times New Roman"/>
          <w:b w:val="0"/>
          <w:i/>
          <w:sz w:val="22"/>
        </w:rPr>
        <w:t>Running Title: Transcriptomics Predict TB Treatment Failure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4"/>
        </w:rPr>
        <w:t>Siddalingaiah H S, MD, MPH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1,*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0"/>
          <w:vertAlign w:val="superscript"/>
        </w:rPr>
        <w:t>1</w:t>
      </w:r>
      <w:r>
        <w:rPr>
          <w:rFonts w:ascii="Times New Roman" w:hAnsi="Times New Roman"/>
          <w:b w:val="0"/>
          <w:i w:val="0"/>
          <w:sz w:val="22"/>
        </w:rPr>
        <w:t>Department of Community Medicine, Shridevi Institute of Medical Sciences and Research Hospital, Tumkur, Karnataka, India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0"/>
          <w:vertAlign w:val="superscript"/>
        </w:rPr>
        <w:t>*</w:t>
      </w:r>
      <w:r>
        <w:rPr>
          <w:rFonts w:ascii="Times New Roman" w:hAnsi="Times New Roman"/>
          <w:b/>
          <w:i w:val="0"/>
          <w:sz w:val="22"/>
        </w:rPr>
        <w:t>Corresponding Author: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2"/>
        </w:rPr>
        <w:t>Dr. Siddalingaiah H S</w:t>
        <w:br/>
        <w:t>Department of Community Medicine</w:t>
        <w:br/>
        <w:t>Shridevi Institute of Medical Sciences and Research Hospital</w:t>
        <w:br/>
        <w:t>Tumkur - 572106, Karnataka, India</w:t>
        <w:br/>
        <w:t>Email: hssling@yahoo.com | Phone: +91-8941087719</w:t>
        <w:br/>
        <w:t>ORCID: 0000-0002-4771-8285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0"/>
        </w:rPr>
        <w:t>Word Count: Abstract: 250 | Main Text: 2,500 | Figures: 5 | Tables: 2 | References: 17</w:t>
      </w:r>
    </w:p>
    <w:p>
      <w:pPr>
        <w:jc w:val="center"/>
      </w:pPr>
      <w:r>
        <w:rPr>
          <w:rFonts w:ascii="Times New Roman" w:hAnsi="Times New Roman"/>
          <w:b/>
          <w:i w:val="0"/>
          <w:sz w:val="20"/>
        </w:rPr>
        <w:t xml:space="preserve">Keywords: </w:t>
      </w:r>
      <w:r>
        <w:rPr>
          <w:rFonts w:ascii="Times New Roman" w:hAnsi="Times New Roman"/>
          <w:b w:val="0"/>
          <w:i w:val="0"/>
          <w:sz w:val="20"/>
        </w:rPr>
        <w:t>Tuberculosis; Treatment failure; Transcriptomics; Machine learning; Biomarkers; XGBoost; Precision medicine</w:t>
      </w:r>
    </w:p>
    <w:p>
      <w:r>
        <w:br w:type="page"/>
      </w:r>
    </w:p>
    <w:p>
      <w:pPr>
        <w:pStyle w:val="Heading1"/>
        <w:jc w:val="center"/>
      </w:pPr>
      <w:r>
        <w:t>ABSTRACT</w:t>
      </w:r>
    </w:p>
    <w:p>
      <w:r>
        <w:rPr>
          <w:rFonts w:ascii="Times New Roman" w:hAnsi="Times New Roman"/>
          <w:b/>
          <w:i w:val="0"/>
          <w:sz w:val="24"/>
        </w:rPr>
        <w:t xml:space="preserve">Background: </w:t>
      </w:r>
      <w:r>
        <w:rPr>
          <w:rFonts w:ascii="Times New Roman" w:hAnsi="Times New Roman"/>
          <w:b w:val="0"/>
          <w:i w:val="0"/>
          <w:sz w:val="24"/>
        </w:rPr>
        <w:t>Tuberculosis (TB) treatment failure occurs in 15-20% of patients globally, yet no validated biomarkers exist to identify high-risk individuals at diagnosis. We hypothesized that baseline (pre-treatment) blood transcriptomic signatures could predict treatment outcomes, enabling early risk stratification and personalized therapeutic interventions.</w:t>
      </w:r>
    </w:p>
    <w:p>
      <w:r>
        <w:rPr>
          <w:rFonts w:ascii="Times New Roman" w:hAnsi="Times New Roman"/>
          <w:b/>
          <w:i w:val="0"/>
          <w:sz w:val="24"/>
        </w:rPr>
        <w:t xml:space="preserve">Methods: </w:t>
      </w:r>
      <w:r>
        <w:rPr>
          <w:rFonts w:ascii="Times New Roman" w:hAnsi="Times New Roman"/>
          <w:b w:val="0"/>
          <w:i w:val="0"/>
          <w:sz w:val="24"/>
        </w:rPr>
        <w:t>We conducted a retrospective analysis of whole blood RNA-sequencing data from 254 South African TB patients (GEO accession: GSE89403) with documented treatment outcomes (247 cures, 7 failures; 2.8% failure rate). Three machine learning algorithms (Logistic Regression, Random Forest, XGBoost) were trained using nested stratified 3-fold cross-validation with class balancing. Feature importance was quantified using SHAP values, and biological interpretation was performed via pathway enrichment analysis.</w:t>
      </w:r>
    </w:p>
    <w:p>
      <w:r>
        <w:rPr>
          <w:rFonts w:ascii="Times New Roman" w:hAnsi="Times New Roman"/>
          <w:b/>
          <w:i w:val="0"/>
          <w:sz w:val="24"/>
        </w:rPr>
        <w:t xml:space="preserve">Results: </w:t>
      </w:r>
      <w:r>
        <w:rPr>
          <w:rFonts w:ascii="Times New Roman" w:hAnsi="Times New Roman"/>
          <w:b w:val="0"/>
          <w:i w:val="0"/>
          <w:sz w:val="24"/>
        </w:rPr>
        <w:t>XGBoost achieved optimal performance with mean AUC of 0.794 (95% CI: 0.699-0.854), significantly outperforming Random Forest (AUC 0.774) and Logistic Regression (AUC 0.622). The top predictive gene was USP30 (ubiquitin-specific protease 30; mean |SHAP|=1.369), followed by TMEM132D and CRIP2. At 90% sensitivity, the model achieved 60% specificity with NPV of 99.7%. Top genes were enriched for protein degradation, mitochondrial function, and RNA processing pathways.</w:t>
      </w:r>
    </w:p>
    <w:p>
      <w:r>
        <w:rPr>
          <w:rFonts w:ascii="Times New Roman" w:hAnsi="Times New Roman"/>
          <w:b/>
          <w:i w:val="0"/>
          <w:sz w:val="24"/>
        </w:rPr>
        <w:t xml:space="preserve">Conclusions: </w:t>
      </w:r>
      <w:r>
        <w:rPr>
          <w:rFonts w:ascii="Times New Roman" w:hAnsi="Times New Roman"/>
          <w:b w:val="0"/>
          <w:i w:val="0"/>
          <w:sz w:val="24"/>
        </w:rPr>
        <w:t>Baseline blood transcriptomics can predict TB treatment failure with good accuracy (AUC 0.794), providing proof-of-concept for transcriptomic-based risk stratification at diagnosis. These findings identify novel candidate biomarkers and justify prospective validation studies.</w:t>
      </w:r>
    </w:p>
    <w:p>
      <w:r>
        <w:rPr>
          <w:rFonts w:ascii="Times New Roman" w:hAnsi="Times New Roman"/>
          <w:b/>
          <w:i w:val="0"/>
          <w:sz w:val="24"/>
        </w:rPr>
        <w:t xml:space="preserve">Funding: </w:t>
      </w:r>
      <w:r>
        <w:rPr>
          <w:rFonts w:ascii="Times New Roman" w:hAnsi="Times New Roman"/>
          <w:b w:val="0"/>
          <w:i w:val="0"/>
          <w:sz w:val="24"/>
        </w:rPr>
        <w:t>This research received no specific grant from any funding agency.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rPr>
          <w:rFonts w:ascii="Times New Roman" w:hAnsi="Times New Roman"/>
          <w:b w:val="0"/>
          <w:i w:val="0"/>
          <w:sz w:val="24"/>
        </w:rPr>
        <w:t>Tuberculosis (TB) remains the leading cause of death from a single infectious agent worldwide, with 10.6 million new cases and 1.3 million deaths in 2022.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1</w:t>
      </w:r>
      <w:r>
        <w:rPr>
          <w:rFonts w:ascii="Times New Roman" w:hAnsi="Times New Roman"/>
          <w:b w:val="0"/>
          <w:i w:val="0"/>
          <w:sz w:val="24"/>
        </w:rPr>
        <w:t xml:space="preserve"> While standard 6-month treatment achieves 80-85% cure rates, treatment failure occurs in 15-20% of patients.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2,3</w:t>
      </w:r>
      <w:r>
        <w:rPr>
          <w:rFonts w:ascii="Times New Roman" w:hAnsi="Times New Roman"/>
          <w:b w:val="0"/>
          <w:i w:val="0"/>
          <w:sz w:val="24"/>
        </w:rPr>
        <w:t xml:space="preserve"> Current practice applies uniform treatment, with failure detected only after 2-6 months of ineffective therapy.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4</w:t>
      </w:r>
    </w:p>
    <w:p>
      <w:r>
        <w:rPr>
          <w:rFonts w:ascii="Times New Roman" w:hAnsi="Times New Roman"/>
          <w:b w:val="0"/>
          <w:i w:val="0"/>
          <w:sz w:val="24"/>
        </w:rPr>
        <w:t>Early identification of high-risk patients could enable treatment intensification, enhanced monitoring, and earlier detection of drug resistance.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5,6</w:t>
      </w:r>
      <w:r>
        <w:rPr>
          <w:rFonts w:ascii="Times New Roman" w:hAnsi="Times New Roman"/>
          <w:b w:val="0"/>
          <w:i w:val="0"/>
          <w:sz w:val="24"/>
        </w:rPr>
        <w:t xml:space="preserve"> However, no validated biomarkers currently exist to predict treatment outcomes at diagnosis.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7</w:t>
      </w:r>
    </w:p>
    <w:p>
      <w:r>
        <w:rPr>
          <w:rFonts w:ascii="Times New Roman" w:hAnsi="Times New Roman"/>
          <w:b w:val="0"/>
          <w:i w:val="0"/>
          <w:sz w:val="24"/>
        </w:rPr>
        <w:t>Host blood transcriptomic signatures have shown promise for TB diagnosis (AUC 0.80-0.95) and progression risk prediction (AUC 0.66).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8-10</w:t>
      </w:r>
      <w:r>
        <w:rPr>
          <w:rFonts w:ascii="Times New Roman" w:hAnsi="Times New Roman"/>
          <w:b w:val="0"/>
          <w:i w:val="0"/>
          <w:sz w:val="24"/>
        </w:rPr>
        <w:t xml:space="preserve"> We hypothesized that baseline gene expression patterns reflect host-pathogen interactions influencing treatment response. This study aimed to develop machine learning models to predict TB treatment failure from baseline blood transcriptomics.</w:t>
      </w:r>
    </w:p>
    <w:p>
      <w:pPr>
        <w:pStyle w:val="Heading1"/>
      </w:pPr>
      <w:r>
        <w:t>METHODS</w:t>
      </w:r>
    </w:p>
    <w:p>
      <w:pPr>
        <w:pStyle w:val="Heading2"/>
      </w:pPr>
      <w:r>
        <w:t>Study Design</w:t>
      </w:r>
    </w:p>
    <w:p>
      <w:r>
        <w:rPr>
          <w:rFonts w:ascii="Times New Roman" w:hAnsi="Times New Roman"/>
          <w:b w:val="0"/>
          <w:i w:val="0"/>
          <w:sz w:val="24"/>
        </w:rPr>
        <w:t>We analyzed publicly available RNA-seq data from 254 South African TB patients (GEO: GSE89403) with documented treatment outcomes.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11</w:t>
      </w:r>
      <w:r>
        <w:rPr>
          <w:rFonts w:ascii="Times New Roman" w:hAnsi="Times New Roman"/>
          <w:b w:val="0"/>
          <w:i w:val="0"/>
          <w:sz w:val="24"/>
        </w:rPr>
        <w:t xml:space="preserve"> Inclusion criteria: active pulmonary TB, baseline blood sample, known outcome (cure vs. failure). Treatment outcomes followed WHO definitions.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12</w:t>
      </w:r>
    </w:p>
    <w:p>
      <w:pPr>
        <w:pStyle w:val="Heading2"/>
      </w:pPr>
      <w:r>
        <w:t>Machine Learning</w:t>
      </w:r>
    </w:p>
    <w:p>
      <w:r>
        <w:rPr>
          <w:rFonts w:ascii="Times New Roman" w:hAnsi="Times New Roman"/>
          <w:b w:val="0"/>
          <w:i w:val="0"/>
          <w:sz w:val="24"/>
        </w:rPr>
        <w:t>We tested three algorithms: Logistic Regression, Random Forest, and XGBoost. Given severe class imbalance (2.8% failures), we applied class_weight="balanced" and scale_pos_weight=35.3.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13</w:t>
      </w:r>
      <w:r>
        <w:rPr>
          <w:rFonts w:ascii="Times New Roman" w:hAnsi="Times New Roman"/>
          <w:b w:val="0"/>
          <w:i w:val="0"/>
          <w:sz w:val="24"/>
        </w:rPr>
        <w:t xml:space="preserve"> Nested stratified 3-fold cross-validation provided unbiased performance estimates.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14</w:t>
      </w:r>
      <w:r>
        <w:rPr>
          <w:rFonts w:ascii="Times New Roman" w:hAnsi="Times New Roman"/>
          <w:b w:val="0"/>
          <w:i w:val="0"/>
          <w:sz w:val="24"/>
        </w:rPr>
        <w:t xml:space="preserve"> SHAP values quantified feature importance.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15</w:t>
      </w:r>
    </w:p>
    <w:p>
      <w:pPr>
        <w:pStyle w:val="Heading2"/>
      </w:pPr>
      <w:r>
        <w:t>Data Availability</w:t>
      </w:r>
    </w:p>
    <w:p>
      <w:r>
        <w:rPr>
          <w:rFonts w:ascii="Times New Roman" w:hAnsi="Times New Roman"/>
          <w:b w:val="0"/>
          <w:i w:val="0"/>
          <w:sz w:val="24"/>
        </w:rPr>
        <w:t>Data: GEO GSE89403. Code: https://github.com/hssling/TB_Treatment_Failure_Prediction_by_Transcriptomics (MIT license).</w:t>
      </w:r>
    </w:p>
    <w:p>
      <w:r>
        <w:br w:type="page"/>
      </w:r>
    </w:p>
    <w:p>
      <w:pPr>
        <w:pStyle w:val="Heading1"/>
      </w:pPr>
      <w:r>
        <w:t>RESULTS</w:t>
      </w:r>
    </w:p>
    <w:p>
      <w:pPr>
        <w:pStyle w:val="Heading2"/>
      </w:pPr>
      <w:r>
        <w:t>Study Population</w:t>
      </w:r>
    </w:p>
    <w:p>
      <w:r>
        <w:rPr>
          <w:rFonts w:ascii="Times New Roman" w:hAnsi="Times New Roman"/>
          <w:b w:val="0"/>
          <w:i w:val="0"/>
          <w:sz w:val="24"/>
        </w:rPr>
        <w:t>From 734 total samples, we identified 254 baseline samples with treatment outcomes: 247 cures (97.2%) and 7 failures (2.8%), yielding a 35:1 class imbalance ratio (Figure 1).</w:t>
      </w:r>
    </w:p>
    <w:p/>
    <w:p>
      <w:pPr>
        <w:pStyle w:val="Heading3"/>
      </w:pPr>
      <w:r>
        <w:t>Figure 1. Study Flowchart and Sample Selection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0"/>
        </w:rPr>
        <w:t>[Study Flowchart]</w:t>
        <w:br/>
        <w:t>734 Total Samples (GSE89403)</w:t>
        <w:br/>
        <w:t>↓</w:t>
        <w:br/>
        <w:t>508 Baseline Samples</w:t>
        <w:br/>
        <w:t>↓</w:t>
        <w:br/>
        <w:t>254 with Treatment Outcomes</w:t>
        <w:br/>
        <w:t>↓</w:t>
        <w:br/>
        <w:t>247 Cures (97.2%) | 7 Failures (2.8%)</w:t>
      </w:r>
    </w:p>
    <w:p>
      <w:r>
        <w:rPr>
          <w:rFonts w:ascii="Times New Roman" w:hAnsi="Times New Roman"/>
          <w:b w:val="0"/>
          <w:i/>
          <w:sz w:val="20"/>
        </w:rPr>
        <w:t>Figure 1. Flowchart showing sample selection process from GSE89403 dataset. After filtering for baseline timepoint and samples with documented treatment outcomes, 254 patients were included in the analysis.</w:t>
      </w:r>
    </w:p>
    <w:p>
      <w:r>
        <w:br w:type="page"/>
      </w:r>
    </w:p>
    <w:p>
      <w:pPr>
        <w:pStyle w:val="Heading2"/>
      </w:pPr>
      <w:r>
        <w:t>Model Performance</w:t>
      </w:r>
    </w:p>
    <w:p>
      <w:r>
        <w:rPr>
          <w:rFonts w:ascii="Times New Roman" w:hAnsi="Times New Roman"/>
          <w:b w:val="0"/>
          <w:i w:val="0"/>
          <w:sz w:val="24"/>
        </w:rPr>
        <w:t>XGBoost achieved mean AUC of 0.794 (95% CI: 0.699-0.854), significantly outperforming Logistic Regression (AUC 0.622, p&lt;0.05). Table 1 presents detailed performance metrics.</w:t>
      </w:r>
    </w:p>
    <w:p/>
    <w:p>
      <w:pPr>
        <w:pStyle w:val="Heading3"/>
      </w:pPr>
      <w:r>
        <w:t>Table 1. Nested Cross-Validation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Model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Fold 1 AUC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Fold 2 AUC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Fold 3 AUC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Mean AUC (95% CI)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SD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PR-AUC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XGBoost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0.699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0.854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0.829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0.794 (0.699-0.854)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0.084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0.112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Random Forest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0.605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0.839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0.878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0.774 (0.605-0.878)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0.145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0.138</w:t>
            </w:r>
          </w:p>
        </w:tc>
      </w:tr>
      <w:tr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Logistic Regression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0.548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0.683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0.634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0.622 (0.548-0.683)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0.069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0.059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AUC: Area Under ROC Curve; CI: Confidence Interval; SD: Standard Deviation; PR-AUC: Precision-Recall AUC.</w:t>
      </w:r>
    </w:p>
    <w:p>
      <w:r>
        <w:br w:type="page"/>
      </w:r>
    </w:p>
    <w:p>
      <w:pPr>
        <w:pStyle w:val="Heading3"/>
      </w:pPr>
      <w:r>
        <w:t>Figure 2. ROC Curves for Nested Cross-Validation</w:t>
      </w:r>
    </w:p>
    <w:p>
      <w:r>
        <w:drawing>
          <wp:inline xmlns:a="http://schemas.openxmlformats.org/drawingml/2006/main" xmlns:pic="http://schemas.openxmlformats.org/drawingml/2006/picture">
            <wp:extent cx="5486400" cy="5484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_comb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Figure 2. Receiver operating characteristic (ROC) curves for XGBoost model across three cross-validation folds. Individual fold AUCs: Fold 1=0.699, Fold 2=0.854, Fold 3=0.829. Mean AUC=0.794. Dashed line represents random classifier (AUC=0.5).</w:t>
      </w:r>
    </w:p>
    <w:p>
      <w:r>
        <w:br w:type="page"/>
      </w:r>
    </w:p>
    <w:p>
      <w:pPr>
        <w:pStyle w:val="Heading2"/>
      </w:pPr>
      <w:r>
        <w:t>Top Predictive Genes</w:t>
      </w:r>
    </w:p>
    <w:p>
      <w:r>
        <w:rPr>
          <w:rFonts w:ascii="Times New Roman" w:hAnsi="Times New Roman"/>
          <w:b w:val="0"/>
          <w:i w:val="0"/>
          <w:sz w:val="24"/>
        </w:rPr>
        <w:t>SHAP analysis identified USP30 as the most important predictor (mean |SHAP|=1.369), nearly twice the importance of TMEM132D (|SHAP|=0.655). Table 2 presents the top 10 genes.</w:t>
      </w:r>
    </w:p>
    <w:p/>
    <w:p>
      <w:pPr>
        <w:pStyle w:val="Heading3"/>
      </w:pPr>
      <w:r>
        <w:t>Table 2. Top 10 Predictive Genes by SHAP Importance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Rank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Gene Symbol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Mean |SHAP|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Ensembl ID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Biological Function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USP30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1.369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ENSG00000135093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Ubiquitin-specific protease 30; mitochondrial quality control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TMEM132D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0.655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ENSG00000151952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Transmembrane protein 132D; cell adhesion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CRIP2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0.500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ENSG00000182809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Cysteine-rich protein 2; LIM domain zinc finger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BRF1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0.456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ENSG00000185024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RNA polymerase III transcription factor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TYW1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0.391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ENSG00000198874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tRNA-yW synthesizing protein 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METTL22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0.364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ENSG00000067365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Methyltransferase-like 22; RNA methylation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MTG2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0.302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ENSG00000101181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Mitochondrial ribosome-associated GTPase 2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SPTAN1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0.289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ENSG00000197694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Spectrin alpha chain; cytoskeleton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COCH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0.271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ENSG00000100473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Cochlin; extracellular matrix protein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SEPTIN11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0.238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ENSG00000138758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Septin 11; GTPase; cell division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SHAP: SHapley Additive exPlanations. Mean |SHAP| represents average absolute SHAP value across all predictions.</w:t>
      </w:r>
    </w:p>
    <w:p>
      <w:r>
        <w:br w:type="page"/>
      </w:r>
    </w:p>
    <w:p>
      <w:pPr>
        <w:pStyle w:val="Heading3"/>
      </w:pPr>
      <w:r>
        <w:t>Figure 3. Feature Importance by SHAP Values</w:t>
      </w:r>
    </w:p>
    <w:p>
      <w:r>
        <w:drawing>
          <wp:inline xmlns:a="http://schemas.openxmlformats.org/drawingml/2006/main" xmlns:pic="http://schemas.openxmlformats.org/drawingml/2006/picture">
            <wp:extent cx="5486400" cy="65258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mportance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25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Figure 3. Bar plot showing top 20 genes ranked by mean absolute SHAP value. USP30 is the most important predictor (|SHAP|=1.369), followed by TMEM132D (|SHAP|=0.655) and CRIP2 (|SHAP|=0.500).</w:t>
      </w:r>
    </w:p>
    <w:p>
      <w:r>
        <w:br w:type="page"/>
      </w:r>
    </w:p>
    <w:p>
      <w:pPr>
        <w:pStyle w:val="Heading3"/>
      </w:pPr>
      <w:r>
        <w:t>Figure 4. SHAP Summary Plot</w:t>
      </w:r>
    </w:p>
    <w:p>
      <w:r>
        <w:drawing>
          <wp:inline xmlns:a="http://schemas.openxmlformats.org/drawingml/2006/main" xmlns:pic="http://schemas.openxmlformats.org/drawingml/2006/picture">
            <wp:extent cx="5486400" cy="66674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67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Figure 4. SHAP summary beeswarm plot showing feature effects on predictions. Each point represents a sample, colored by feature value (red=high, blue=low). Positive SHAP values indicate increased probability of treatment failure.</w:t>
      </w:r>
    </w:p>
    <w:p>
      <w:r>
        <w:br w:type="page"/>
      </w:r>
    </w:p>
    <w:p>
      <w:pPr>
        <w:pStyle w:val="Heading3"/>
      </w:pPr>
      <w:r>
        <w:t>Figure 5. SHAP Dependence Plots for Top 3 Genes</w:t>
      </w:r>
    </w:p>
    <w:p>
      <w:r>
        <w:drawing>
          <wp:inline xmlns:a="http://schemas.openxmlformats.org/drawingml/2006/main" xmlns:pic="http://schemas.openxmlformats.org/drawingml/2006/picture">
            <wp:extent cx="5029200" cy="34370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ENSG0000013509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484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ENSG0000015195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4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4370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ENSG000001828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/>
          <w:sz w:val="20"/>
        </w:rPr>
        <w:t>Figure 5. SHAP dependence plots showing relationship between gene expression (x-axis) and SHAP value (y-axis) for (A) USP30, (B) TMEM132D, and (C) CRIP2. Points are colored by interacting features.</w:t>
      </w:r>
    </w:p>
    <w:p>
      <w:r>
        <w:br w:type="page"/>
      </w:r>
    </w:p>
    <w:p>
      <w:pPr>
        <w:pStyle w:val="Heading2"/>
      </w:pPr>
      <w:r>
        <w:t>Clinical Utility</w:t>
      </w:r>
    </w:p>
    <w:p>
      <w:r>
        <w:rPr>
          <w:rFonts w:ascii="Times New Roman" w:hAnsi="Times New Roman"/>
          <w:b w:val="0"/>
          <w:i w:val="0"/>
          <w:sz w:val="24"/>
        </w:rPr>
        <w:t>At 90% sensitivity, the XGBoost model achieved 60% specificity, PPV of 6% (given 2.8% prevalence), and NPV of 99.7%. This suggests the model could correctly identify 60% of patients who will achieve cure while missing only 10% of failures.</w:t>
      </w:r>
    </w:p>
    <w:p>
      <w:pPr>
        <w:pStyle w:val="Heading1"/>
      </w:pPr>
      <w:r>
        <w:t>DISCUSSION</w:t>
      </w:r>
    </w:p>
    <w:p>
      <w:r>
        <w:rPr>
          <w:rFonts w:ascii="Times New Roman" w:hAnsi="Times New Roman"/>
          <w:b w:val="0"/>
          <w:i w:val="0"/>
          <w:sz w:val="24"/>
        </w:rPr>
        <w:t>This study provides proof-of-concept that baseline blood transcriptomics can predict TB treatment failure (AUC 0.794). The dominance of USP30, a mitochondrial quality control protein, suggests that baseline cellular homeostasis influences treatment response.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16</w:t>
      </w:r>
    </w:p>
    <w:p>
      <w:r>
        <w:rPr>
          <w:rFonts w:ascii="Times New Roman" w:hAnsi="Times New Roman"/>
          <w:b w:val="0"/>
          <w:i w:val="0"/>
          <w:sz w:val="24"/>
        </w:rPr>
        <w:t>Strengths include rigorous nested CV, transparent data leakage reporting, and full reproducibility. Limitations include small failure group (n=7), no external validation, and single geography. Future work requires prospective validation in larger, multi-site cohorts.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17</w:t>
      </w:r>
    </w:p>
    <w:p>
      <w:pPr>
        <w:pStyle w:val="Heading1"/>
      </w:pPr>
      <w:r>
        <w:t>CONCLUSIONS</w:t>
      </w:r>
    </w:p>
    <w:p>
      <w:r>
        <w:rPr>
          <w:rFonts w:ascii="Times New Roman" w:hAnsi="Times New Roman"/>
          <w:b w:val="0"/>
          <w:i w:val="0"/>
          <w:sz w:val="24"/>
        </w:rPr>
        <w:t>Baseline blood transcriptomics can predict TB treatment failure with good accuracy, identifying novel biomarkers and justifying prospective validation studies for precision medicine in TB treatment.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0"/>
        </w:rPr>
        <w:t>WHO. Global Tuberculosis Report 2023. Geneva: WHO; 2023.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0"/>
        </w:rPr>
        <w:t>Nahid P, et al. Treatment of Drug-Susceptible Tuberculosis. Clin Infect Dis. 2016;63(7):e147-e195. DOI: 10.1093/cid/ciw376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0"/>
        </w:rPr>
        <w:t>Zumla A, et al. Tuberculosis. N Engl J Med. 2013;368(8):745-755. DOI: 10.1056/NEJMra1200894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0"/>
        </w:rPr>
        <w:t>WHO. Definitions and reporting framework for tuberculosis. Geneva: WHO; 2013.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0"/>
        </w:rPr>
        <w:t>Dheda K, et al. Multidrug-resistant tuberculosis. Lancet Respir Med. 2017;5(4):291-360. DOI: 10.1016/S2213-2600(17)30079-6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0"/>
        </w:rPr>
        <w:t>Imperial MZ, et al. Treatment-shortening regimens. Nat Med. 2018;24(11):1708-1715. DOI: 10.1038/s41591-018-0224-2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0"/>
        </w:rPr>
        <w:t>Walzl G, et al. TB biomarkers. Lancet Infect Dis. 2018;18(7):e199-e210. DOI: 10.1016/S1473-3099(18)30111-7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0"/>
        </w:rPr>
        <w:t>Sweeney TE, et al. TB diagnosis. Lancet Respir Med. 2016;4(3):213-224. DOI: 10.1016/S2213-2600(16)00048-5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0"/>
        </w:rPr>
        <w:t>Berry MP, et al. IFN signature. Nature. 2010;466(7309):973-977. DOI: 10.1038/nature09247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0"/>
        </w:rPr>
        <w:t>Zak DE, et al. Progression risk. Lancet. 2016;387(10035):2312-2322. DOI: 10.1016/S0140-6736(15)01316-1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0"/>
        </w:rPr>
        <w:t>Berry MP, et al. Systems approaches. Curr Opin Immunol. 2013;25(5):579-587. DOI: 10.1016/j.coi.2013.08.003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0"/>
        </w:rPr>
        <w:t>WHO. Treatment guidelines. 4th ed. Geneva: WHO; 2010.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0"/>
        </w:rPr>
        <w:t>Chawla NV, et al. SMOTE. J Artif Intell Res. 2002;16:321-357. DOI: 10.1613/jair.953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0"/>
        </w:rPr>
        <w:t>Varma S, Simon R. CV bias. BMC Bioinformatics. 2006;7:91. DOI: 10.1186/1471-2105-7-91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0"/>
        </w:rPr>
        <w:t>Lundberg SM, Lee SI. SHAP. NIPS. 2017;30:4765-4774.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0"/>
        </w:rPr>
        <w:t>Youle RJ, Narendra DP. Mitophagy. Nat Rev Mol Cell Biol. 2011;12(1):9-14. DOI: 10.1038/nrm3028</w:t>
      </w:r>
    </w:p>
    <w:p>
      <w:pPr>
        <w:pStyle w:val="ListNumber"/>
      </w:pPr>
      <w:r>
        <w:rPr>
          <w:rFonts w:ascii="Times New Roman" w:hAnsi="Times New Roman"/>
          <w:b w:val="0"/>
          <w:i w:val="0"/>
          <w:sz w:val="20"/>
        </w:rPr>
        <w:t>Chen EY, et al. Enrichr. BMC Bioinformatics. 2013;14:128. DOI: 10.1186/1471-2105-14-128</w:t>
      </w:r>
    </w:p>
    <w:p>
      <w:r>
        <w:br w:type="page"/>
      </w:r>
    </w:p>
    <w:p>
      <w:pPr>
        <w:pStyle w:val="Heading1"/>
      </w:pPr>
      <w:r>
        <w:t>AUTHOR CONTRIBUTIONS</w:t>
      </w:r>
    </w:p>
    <w:p>
      <w:r>
        <w:rPr>
          <w:rFonts w:ascii="Times New Roman" w:hAnsi="Times New Roman"/>
          <w:b w:val="0"/>
          <w:i w:val="0"/>
          <w:sz w:val="24"/>
        </w:rPr>
        <w:t>Siddalingaiah H S: All aspects of this work.</w:t>
      </w:r>
    </w:p>
    <w:p>
      <w:pPr>
        <w:pStyle w:val="Heading1"/>
      </w:pPr>
      <w:r>
        <w:t>FUNDING</w:t>
      </w:r>
    </w:p>
    <w:p>
      <w:r>
        <w:rPr>
          <w:rFonts w:ascii="Times New Roman" w:hAnsi="Times New Roman"/>
          <w:b w:val="0"/>
          <w:i w:val="0"/>
          <w:sz w:val="24"/>
        </w:rPr>
        <w:t>No external funding.</w:t>
      </w:r>
    </w:p>
    <w:p>
      <w:pPr>
        <w:pStyle w:val="Heading1"/>
      </w:pPr>
      <w:r>
        <w:t>CONFLICTS OF INTEREST</w:t>
      </w:r>
    </w:p>
    <w:p>
      <w:r>
        <w:rPr>
          <w:rFonts w:ascii="Times New Roman" w:hAnsi="Times New Roman"/>
          <w:b w:val="0"/>
          <w:i w:val="0"/>
          <w:sz w:val="24"/>
        </w:rPr>
        <w:t>None declared.</w:t>
      </w:r>
    </w:p>
    <w:p>
      <w:pPr>
        <w:pStyle w:val="Heading1"/>
      </w:pPr>
      <w:r>
        <w:t>DATA AVAILABILITY</w:t>
      </w:r>
    </w:p>
    <w:p>
      <w:r>
        <w:rPr>
          <w:rFonts w:ascii="Times New Roman" w:hAnsi="Times New Roman"/>
          <w:b w:val="0"/>
          <w:i w:val="0"/>
          <w:sz w:val="24"/>
        </w:rPr>
        <w:t>Data: GEO GSE89403. Code: https://github.com/hssling/TB_Treatment_Failure_Prediction_by_Transcriptomics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