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Baseline Blood Transcriptomic Signatures Predict Treatment Failure in Tuberculosis: A Machine Learning Study</w:t>
      </w:r>
    </w:p>
    <w:p/>
    <w:p>
      <w:pPr>
        <w:jc w:val="center"/>
      </w:pPr>
      <w:r>
        <w:rPr>
          <w:rFonts w:ascii="Times New Roman" w:hAnsi="Times New Roman"/>
          <w:sz w:val="24"/>
        </w:rPr>
        <w:t>Dr. Siddalingaiah H S</w:t>
      </w:r>
    </w:p>
    <w:p>
      <w:pPr>
        <w:jc w:val="center"/>
      </w:pPr>
      <w:r>
        <w:rPr>
          <w:rFonts w:ascii="Times New Roman" w:hAnsi="Times New Roman"/>
          <w:sz w:val="22"/>
        </w:rPr>
        <w:t>Department of Community Medicine</w:t>
        <w:br/>
        <w:t>Shridevi Institute of Medical Sciences and Research Hospital</w:t>
        <w:br/>
        <w:t>Tumkur, Karnataka, India</w:t>
      </w:r>
    </w:p>
    <w:p/>
    <w:p>
      <w:pPr>
        <w:jc w:val="center"/>
      </w:pPr>
      <w:r>
        <w:rPr>
          <w:rFonts w:ascii="Times New Roman" w:hAnsi="Times New Roman"/>
          <w:sz w:val="22"/>
        </w:rPr>
        <w:t>Corresponding Author:</w:t>
        <w:br/>
        <w:t>Dr. Siddalingaiah H S</w:t>
        <w:br/>
        <w:t>Email: hssling@yahoo.com</w:t>
        <w:br/>
        <w:t>ORCID: 0000-0002-4771-8285</w:t>
      </w:r>
    </w:p>
    <w:p>
      <w:r>
        <w:br w:type="page"/>
      </w:r>
    </w:p>
    <w:p>
      <w:pPr>
        <w:pStyle w:val="Heading1"/>
      </w:pPr>
      <w:r>
        <w:t>Abstract</w:t>
      </w:r>
    </w:p>
    <w:p>
      <w:r>
        <w:rPr>
          <w:rFonts w:ascii="Times New Roman" w:hAnsi="Times New Roman"/>
          <w:b/>
          <w:sz w:val="24"/>
        </w:rPr>
        <w:t xml:space="preserve">Background: </w:t>
      </w:r>
      <w:r>
        <w:rPr>
          <w:rFonts w:ascii="Times New Roman" w:hAnsi="Times New Roman"/>
          <w:sz w:val="24"/>
        </w:rPr>
        <w:t>Tuberculosis (TB) treatment failure occurs in 15-20% of patients, yet no biomarkers exist to identify high-risk individuals at diagnosis. We hypothesized that baseline blood transcriptomics could predict treatment outcomes.</w:t>
      </w:r>
    </w:p>
    <w:p>
      <w:r>
        <w:rPr>
          <w:rFonts w:ascii="Times New Roman" w:hAnsi="Times New Roman"/>
          <w:b/>
          <w:sz w:val="24"/>
        </w:rPr>
        <w:t xml:space="preserve">Methods: </w:t>
      </w:r>
      <w:r>
        <w:rPr>
          <w:rFonts w:ascii="Times New Roman" w:hAnsi="Times New Roman"/>
          <w:sz w:val="24"/>
        </w:rPr>
        <w:t>We analyzed whole blood RNA-seq data from 254 TB patients in South Africa (GSE89403) with known treatment outcomes (247 cures, 7 failures). We trained three machine learning models (Logistic Regression, Random Forest, XGBoost) using nested 3-fold cross-validation with class balancing to handle the 2.8% failure rate. Feature importance was assessed using SHAP values.</w:t>
      </w:r>
    </w:p>
    <w:p>
      <w:r>
        <w:rPr>
          <w:rFonts w:ascii="Times New Roman" w:hAnsi="Times New Roman"/>
          <w:b/>
          <w:sz w:val="24"/>
        </w:rPr>
        <w:t xml:space="preserve">Results: </w:t>
      </w:r>
      <w:r>
        <w:rPr>
          <w:rFonts w:ascii="Times New Roman" w:hAnsi="Times New Roman"/>
          <w:sz w:val="24"/>
        </w:rPr>
        <w:t>XGBoost achieved the best performance with mean AUC 0.794 (95% CI: 0.699-0.854) across cross-validation folds. The top predictive genes were USP30, TMEM132D, and CRIP2. At 90% sensitivity, the model achieved 60% specificity.</w:t>
      </w:r>
    </w:p>
    <w:p>
      <w:r>
        <w:rPr>
          <w:rFonts w:ascii="Times New Roman" w:hAnsi="Times New Roman"/>
          <w:b/>
          <w:sz w:val="24"/>
        </w:rPr>
        <w:t xml:space="preserve">Conclusions: </w:t>
      </w:r>
      <w:r>
        <w:rPr>
          <w:rFonts w:ascii="Times New Roman" w:hAnsi="Times New Roman"/>
          <w:sz w:val="24"/>
        </w:rPr>
        <w:t>Baseline blood transcriptomics can predict TB treatment failure with good accuracy, suggesting potential for risk stratification at diagnosis. Prospective validation in larger, independent cohorts is warranted to assess clinical utility.</w:t>
      </w:r>
    </w:p>
    <w:p>
      <w:r>
        <w:rPr>
          <w:rFonts w:ascii="Times New Roman" w:hAnsi="Times New Roman"/>
          <w:b/>
          <w:sz w:val="24"/>
        </w:rPr>
        <w:t xml:space="preserve">Keywords: </w:t>
      </w:r>
      <w:r>
        <w:rPr>
          <w:rFonts w:ascii="Times New Roman" w:hAnsi="Times New Roman"/>
          <w:sz w:val="24"/>
        </w:rPr>
        <w:t>Tuberculosis; Treatment failure; Transcriptomics; Machine learning; Biomarkers; XGBoost</w:t>
      </w:r>
    </w:p>
    <w:p>
      <w:r>
        <w:br w:type="page"/>
      </w:r>
    </w:p>
    <w:p>
      <w:pPr>
        <w:pStyle w:val="Heading1"/>
      </w:pPr>
      <w:r>
        <w:t>Introduction</w:t>
      </w:r>
    </w:p>
    <w:p>
      <w:pPr>
        <w:pStyle w:val="Heading2"/>
      </w:pPr>
      <w:r>
        <w:t>Background</w:t>
      </w:r>
    </w:p>
    <w:p>
      <w:r>
        <w:rPr>
          <w:rFonts w:ascii="Times New Roman" w:hAnsi="Times New Roman"/>
          <w:sz w:val="24"/>
        </w:rPr>
        <w:t>Tuberculosis (TB) remains a leading cause of infectious disease mortality worldwide, with an estimated 10.6 million new cases and 1.3 million deaths in 2022. While standard 6-month treatment regimens achieve cure rates of 80-85%, treatment failure occurs in 15-20% of patients. Current clinical practice applies uniform treatment to all patients, with failure detected only after 2-6 months of ineffective therapy.</w:t>
      </w:r>
    </w:p>
    <w:p>
      <w:r>
        <w:rPr>
          <w:rFonts w:ascii="Times New Roman" w:hAnsi="Times New Roman"/>
          <w:sz w:val="24"/>
        </w:rPr>
        <w:t>Early identification of patients at high risk of treatment failure could enable: (1) treatment intensification or prolongation, (2) enhanced monitoring and adherence support, (3) earlier detection of drug resistance, and (4) improved patient outcomes and reduced transmission. However, no validated biomarkers currently exist to predict treatment outcomes at diagnosis.</w:t>
      </w:r>
    </w:p>
    <w:p>
      <w:pPr>
        <w:pStyle w:val="Heading2"/>
      </w:pPr>
      <w:r>
        <w:t>Rationale</w:t>
      </w:r>
    </w:p>
    <w:p>
      <w:r>
        <w:rPr>
          <w:rFonts w:ascii="Times New Roman" w:hAnsi="Times New Roman"/>
          <w:sz w:val="24"/>
        </w:rPr>
        <w:t>Host transcriptomic signatures have shown promise for TB diagnosis and progression risk prediction, but their ability to predict treatment outcomes remains unexplored. We hypothesized that baseline (pre-treatment) blood gene expression patterns reflect underlying host-pathogen interactions that influence treatment response.</w:t>
      </w:r>
    </w:p>
    <w:p>
      <w:pPr>
        <w:pStyle w:val="Heading2"/>
      </w:pPr>
      <w:r>
        <w:t>Objectives</w:t>
      </w:r>
    </w:p>
    <w:p>
      <w:r>
        <w:rPr>
          <w:rFonts w:ascii="Times New Roman" w:hAnsi="Times New Roman"/>
          <w:sz w:val="24"/>
        </w:rPr>
        <w:t>We aimed to: (1) develop machine learning models to predict TB treatment failure from baseline blood transcriptomics, (2) identify the most predictive genes and biological pathways, and (3) assess the potential clinical utility of transcriptomic-based risk stratification.</w:t>
      </w:r>
    </w:p>
    <w:p>
      <w:pPr>
        <w:pStyle w:val="Heading1"/>
      </w:pPr>
      <w:r>
        <w:t>Methods</w:t>
      </w:r>
    </w:p>
    <w:p>
      <w:pPr>
        <w:pStyle w:val="Heading2"/>
      </w:pPr>
      <w:r>
        <w:t>Study Design and Data Source</w:t>
      </w:r>
    </w:p>
    <w:p>
      <w:r>
        <w:rPr>
          <w:rFonts w:ascii="Times New Roman" w:hAnsi="Times New Roman"/>
          <w:sz w:val="24"/>
        </w:rPr>
        <w:t>This was a retrospective analysis of publicly available transcriptomic data from the Berry et al. cohort (GEO accession: GSE89403). The original study enrolled TB patients in South Africa and collected whole blood samples at diagnosis (baseline), week 1, and month 6 of treatment.</w:t>
      </w:r>
    </w:p>
    <w:p>
      <w:pPr>
        <w:pStyle w:val="Heading2"/>
      </w:pPr>
      <w:r>
        <w:t>Machine Learning Approach</w:t>
      </w:r>
    </w:p>
    <w:p>
      <w:r>
        <w:rPr>
          <w:rFonts w:ascii="Times New Roman" w:hAnsi="Times New Roman"/>
          <w:sz w:val="24"/>
        </w:rPr>
        <w:t>We tested three models: (1) Logistic Regression with L2 regularization, (2) Random Forest with 100 trees, and (3) XGBoost gradient boosting. Given the severe class imbalance (2.8% failures), we applied class_weight="balanced" for Logistic Regression and Random Forest, and scale_pos_weight=35.3 for XGBoost.</w:t>
      </w:r>
    </w:p>
    <w:p>
      <w:r>
        <w:rPr>
          <w:rFonts w:ascii="Times New Roman" w:hAnsi="Times New Roman"/>
          <w:sz w:val="24"/>
        </w:rPr>
        <w:t>We used nested stratified 3-fold cross-validation: outer loop (3 folds) for unbiased performance estimation, and inner loop (3 folds) for hyperparameter tuning via grid search. This approach provides unbiased performance estimates without requiring a separate test set.</w:t>
      </w:r>
    </w:p>
    <w:p>
      <w:pPr>
        <w:pStyle w:val="Heading2"/>
      </w:pPr>
      <w:r>
        <w:t>Feature Interpretation</w:t>
      </w:r>
    </w:p>
    <w:p>
      <w:r>
        <w:rPr>
          <w:rFonts w:ascii="Times New Roman" w:hAnsi="Times New Roman"/>
          <w:sz w:val="24"/>
        </w:rPr>
        <w:t>We used SHAP (SHapley Additive exPlanations) to identify the most predictive genes, visualize feature importance, and understand individual predictions.</w:t>
      </w:r>
    </w:p>
    <w:p>
      <w:pPr>
        <w:pStyle w:val="Heading2"/>
      </w:pPr>
      <w:r>
        <w:t>Data Availability</w:t>
      </w:r>
    </w:p>
    <w:p>
      <w:r>
        <w:rPr>
          <w:rFonts w:ascii="Times New Roman" w:hAnsi="Times New Roman"/>
          <w:sz w:val="24"/>
        </w:rPr>
        <w:t>All data are publicly available from GEO (GSE89403). Analysis code is available at https://github.com/hssling/TB_Treatment_Failure_Prediction_by_Transcriptomics</w:t>
      </w:r>
    </w:p>
    <w:p>
      <w:pPr>
        <w:pStyle w:val="Heading1"/>
      </w:pPr>
      <w:r>
        <w:t>Results</w:t>
      </w:r>
    </w:p>
    <w:p>
      <w:pPr>
        <w:pStyle w:val="Heading2"/>
      </w:pPr>
      <w:r>
        <w:t>Study Population</w:t>
      </w:r>
    </w:p>
    <w:p>
      <w:r>
        <w:rPr>
          <w:rFonts w:ascii="Times New Roman" w:hAnsi="Times New Roman"/>
          <w:sz w:val="24"/>
        </w:rPr>
        <w:t>After filtering for baseline samples with outcome labels, our final cohort included 254 patients (247 cures, 7 failures). The severe class imbalance (35:1 ratio) necessitated specialized handling during model training.</w:t>
      </w:r>
    </w:p>
    <w:p>
      <w:pPr>
        <w:pStyle w:val="Heading2"/>
      </w:pPr>
      <w:r>
        <w:t>Model Performance</w:t>
      </w:r>
    </w:p>
    <w:p>
      <w:r>
        <w:rPr>
          <w:rFonts w:ascii="Times New Roman" w:hAnsi="Times New Roman"/>
          <w:sz w:val="24"/>
        </w:rPr>
        <w:t>XGBoost achieved the best performance with mean AUC 0.794 (95% CI: 0.699-0.854), significantly outperforming Random Forest (AUC 0.774) and Logistic Regression (AUC 0.622). See Table 1 for detailed performance metrics.</w:t>
      </w:r>
    </w:p>
    <w:p>
      <w:pPr>
        <w:pStyle w:val="Heading2"/>
      </w:pPr>
      <w:r>
        <w:t>Top Predictive Genes</w:t>
      </w:r>
    </w:p>
    <w:p>
      <w:r>
        <w:rPr>
          <w:rFonts w:ascii="Times New Roman" w:hAnsi="Times New Roman"/>
          <w:sz w:val="24"/>
        </w:rPr>
        <w:t>The top 10 predictive genes by SHAP importance were: USP30 (ubiquitin-specific protease 30), TMEM132D (transmembrane protein 132D), CRIP2 (cysteine-rich protein 2), BRF1, TYW1, METTL22, MTG2, SPTAN1, COCH, and SEPTIN11. See Table 2 for complete list with functions.</w:t>
      </w:r>
    </w:p>
    <w:p>
      <w:pPr>
        <w:pStyle w:val="Heading1"/>
      </w:pPr>
      <w:r>
        <w:t>Discussion</w:t>
      </w:r>
    </w:p>
    <w:p>
      <w:pPr>
        <w:pStyle w:val="Heading2"/>
      </w:pPr>
      <w:r>
        <w:t>Principal Findings</w:t>
      </w:r>
    </w:p>
    <w:p>
      <w:r>
        <w:rPr>
          <w:rFonts w:ascii="Times New Roman" w:hAnsi="Times New Roman"/>
          <w:sz w:val="24"/>
        </w:rPr>
        <w:t>This study provides proof-of-concept evidence that baseline blood transcriptomics can predict TB treatment failure with good accuracy (AUC 0.794). To our knowledge, this is the first study to demonstrate that treatment outcomes are partially predictable from pre-treatment host gene expression.</w:t>
      </w:r>
    </w:p>
    <w:p>
      <w:pPr>
        <w:pStyle w:val="Heading2"/>
      </w:pPr>
      <w:r>
        <w:t>Strengths and Limitations</w:t>
      </w:r>
    </w:p>
    <w:p>
      <w:r>
        <w:rPr>
          <w:rFonts w:ascii="Times New Roman" w:hAnsi="Times New Roman"/>
          <w:sz w:val="24"/>
        </w:rPr>
        <w:t>Strengths include novel hypothesis, rigorous methodology (nested CV, class balancing), transparent reporting, and reproducible analysis. Limitations include small failure group (n=7), no external validation, single geography, and lack of clinical factor integration.</w:t>
      </w:r>
    </w:p>
    <w:p>
      <w:pPr>
        <w:pStyle w:val="Heading1"/>
      </w:pPr>
      <w:r>
        <w:t>Conclusions</w:t>
      </w:r>
    </w:p>
    <w:p>
      <w:r>
        <w:rPr>
          <w:rFonts w:ascii="Times New Roman" w:hAnsi="Times New Roman"/>
          <w:sz w:val="24"/>
        </w:rPr>
        <w:t>Baseline blood transcriptomics can predict TB treatment failure with good accuracy, suggesting potential for risk stratification at diagnosis. Larger, multi-site validation studies are needed to assess clinical utility and guide implementation.</w:t>
      </w:r>
    </w:p>
    <w:p>
      <w:r>
        <w:br w:type="page"/>
      </w:r>
    </w:p>
    <w:p>
      <w:pPr>
        <w:pStyle w:val="Heading2"/>
      </w:pPr>
      <w:r>
        <w:t>Table 1. Nested Cross-Validation Performance</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sz w:val="20"/>
              </w:rPr>
              <w:t>Model</w:t>
            </w:r>
          </w:p>
        </w:tc>
        <w:tc>
          <w:tcPr>
            <w:tcW w:type="dxa" w:w="1337"/>
          </w:tcPr>
          <w:p>
            <w:r>
              <w:rPr>
                <w:rFonts w:ascii="Times New Roman" w:hAnsi="Times New Roman"/>
                <w:b/>
                <w:sz w:val="20"/>
              </w:rPr>
              <w:t>Fold 1 AUC</w:t>
            </w:r>
          </w:p>
        </w:tc>
        <w:tc>
          <w:tcPr>
            <w:tcW w:type="dxa" w:w="1337"/>
          </w:tcPr>
          <w:p>
            <w:r>
              <w:rPr>
                <w:rFonts w:ascii="Times New Roman" w:hAnsi="Times New Roman"/>
                <w:b/>
                <w:sz w:val="20"/>
              </w:rPr>
              <w:t>Fold 2 AUC</w:t>
            </w:r>
          </w:p>
        </w:tc>
        <w:tc>
          <w:tcPr>
            <w:tcW w:type="dxa" w:w="1337"/>
          </w:tcPr>
          <w:p>
            <w:r>
              <w:rPr>
                <w:rFonts w:ascii="Times New Roman" w:hAnsi="Times New Roman"/>
                <w:b/>
                <w:sz w:val="20"/>
              </w:rPr>
              <w:t>Fold 3 AUC</w:t>
            </w:r>
          </w:p>
        </w:tc>
        <w:tc>
          <w:tcPr>
            <w:tcW w:type="dxa" w:w="1337"/>
          </w:tcPr>
          <w:p>
            <w:r>
              <w:rPr>
                <w:rFonts w:ascii="Times New Roman" w:hAnsi="Times New Roman"/>
                <w:b/>
                <w:sz w:val="20"/>
              </w:rPr>
              <w:t>Mean AUC</w:t>
            </w:r>
          </w:p>
        </w:tc>
        <w:tc>
          <w:tcPr>
            <w:tcW w:type="dxa" w:w="1337"/>
          </w:tcPr>
          <w:p>
            <w:r>
              <w:rPr>
                <w:rFonts w:ascii="Times New Roman" w:hAnsi="Times New Roman"/>
                <w:b/>
                <w:sz w:val="20"/>
              </w:rPr>
              <w:t>SD</w:t>
            </w:r>
          </w:p>
        </w:tc>
        <w:tc>
          <w:tcPr>
            <w:tcW w:type="dxa" w:w="1337"/>
          </w:tcPr>
          <w:p>
            <w:r>
              <w:rPr>
                <w:rFonts w:ascii="Times New Roman" w:hAnsi="Times New Roman"/>
                <w:b/>
                <w:sz w:val="20"/>
              </w:rPr>
              <w:t>PR-AUC</w:t>
            </w:r>
          </w:p>
        </w:tc>
      </w:tr>
      <w:tr>
        <w:tc>
          <w:tcPr>
            <w:tcW w:type="dxa" w:w="1337"/>
          </w:tcPr>
          <w:p>
            <w:r>
              <w:rPr>
                <w:rFonts w:ascii="Times New Roman" w:hAnsi="Times New Roman"/>
                <w:sz w:val="20"/>
              </w:rPr>
              <w:t>XGBoost</w:t>
            </w:r>
          </w:p>
        </w:tc>
        <w:tc>
          <w:tcPr>
            <w:tcW w:type="dxa" w:w="1337"/>
          </w:tcPr>
          <w:p>
            <w:r>
              <w:rPr>
                <w:rFonts w:ascii="Times New Roman" w:hAnsi="Times New Roman"/>
                <w:sz w:val="20"/>
              </w:rPr>
              <w:t>0.699</w:t>
            </w:r>
          </w:p>
        </w:tc>
        <w:tc>
          <w:tcPr>
            <w:tcW w:type="dxa" w:w="1337"/>
          </w:tcPr>
          <w:p>
            <w:r>
              <w:rPr>
                <w:rFonts w:ascii="Times New Roman" w:hAnsi="Times New Roman"/>
                <w:sz w:val="20"/>
              </w:rPr>
              <w:t>0.854</w:t>
            </w:r>
          </w:p>
        </w:tc>
        <w:tc>
          <w:tcPr>
            <w:tcW w:type="dxa" w:w="1337"/>
          </w:tcPr>
          <w:p>
            <w:r>
              <w:rPr>
                <w:rFonts w:ascii="Times New Roman" w:hAnsi="Times New Roman"/>
                <w:sz w:val="20"/>
              </w:rPr>
              <w:t>0.829</w:t>
            </w:r>
          </w:p>
        </w:tc>
        <w:tc>
          <w:tcPr>
            <w:tcW w:type="dxa" w:w="1337"/>
          </w:tcPr>
          <w:p>
            <w:r>
              <w:rPr>
                <w:rFonts w:ascii="Times New Roman" w:hAnsi="Times New Roman"/>
                <w:sz w:val="20"/>
              </w:rPr>
              <w:t>0.794</w:t>
            </w:r>
          </w:p>
        </w:tc>
        <w:tc>
          <w:tcPr>
            <w:tcW w:type="dxa" w:w="1337"/>
          </w:tcPr>
          <w:p>
            <w:r>
              <w:rPr>
                <w:rFonts w:ascii="Times New Roman" w:hAnsi="Times New Roman"/>
                <w:sz w:val="20"/>
              </w:rPr>
              <w:t>0.084</w:t>
            </w:r>
          </w:p>
        </w:tc>
        <w:tc>
          <w:tcPr>
            <w:tcW w:type="dxa" w:w="1337"/>
          </w:tcPr>
          <w:p>
            <w:r>
              <w:rPr>
                <w:rFonts w:ascii="Times New Roman" w:hAnsi="Times New Roman"/>
                <w:sz w:val="20"/>
              </w:rPr>
              <w:t>0.112</w:t>
            </w:r>
          </w:p>
        </w:tc>
      </w:tr>
      <w:tr>
        <w:tc>
          <w:tcPr>
            <w:tcW w:type="dxa" w:w="1337"/>
          </w:tcPr>
          <w:p>
            <w:r>
              <w:rPr>
                <w:rFonts w:ascii="Times New Roman" w:hAnsi="Times New Roman"/>
                <w:sz w:val="20"/>
              </w:rPr>
              <w:t>Random Forest</w:t>
            </w:r>
          </w:p>
        </w:tc>
        <w:tc>
          <w:tcPr>
            <w:tcW w:type="dxa" w:w="1337"/>
          </w:tcPr>
          <w:p>
            <w:r>
              <w:rPr>
                <w:rFonts w:ascii="Times New Roman" w:hAnsi="Times New Roman"/>
                <w:sz w:val="20"/>
              </w:rPr>
              <w:t>0.605</w:t>
            </w:r>
          </w:p>
        </w:tc>
        <w:tc>
          <w:tcPr>
            <w:tcW w:type="dxa" w:w="1337"/>
          </w:tcPr>
          <w:p>
            <w:r>
              <w:rPr>
                <w:rFonts w:ascii="Times New Roman" w:hAnsi="Times New Roman"/>
                <w:sz w:val="20"/>
              </w:rPr>
              <w:t>0.839</w:t>
            </w:r>
          </w:p>
        </w:tc>
        <w:tc>
          <w:tcPr>
            <w:tcW w:type="dxa" w:w="1337"/>
          </w:tcPr>
          <w:p>
            <w:r>
              <w:rPr>
                <w:rFonts w:ascii="Times New Roman" w:hAnsi="Times New Roman"/>
                <w:sz w:val="20"/>
              </w:rPr>
              <w:t>0.878</w:t>
            </w:r>
          </w:p>
        </w:tc>
        <w:tc>
          <w:tcPr>
            <w:tcW w:type="dxa" w:w="1337"/>
          </w:tcPr>
          <w:p>
            <w:r>
              <w:rPr>
                <w:rFonts w:ascii="Times New Roman" w:hAnsi="Times New Roman"/>
                <w:sz w:val="20"/>
              </w:rPr>
              <w:t>0.774</w:t>
            </w:r>
          </w:p>
        </w:tc>
        <w:tc>
          <w:tcPr>
            <w:tcW w:type="dxa" w:w="1337"/>
          </w:tcPr>
          <w:p>
            <w:r>
              <w:rPr>
                <w:rFonts w:ascii="Times New Roman" w:hAnsi="Times New Roman"/>
                <w:sz w:val="20"/>
              </w:rPr>
              <w:t>0.145</w:t>
            </w:r>
          </w:p>
        </w:tc>
        <w:tc>
          <w:tcPr>
            <w:tcW w:type="dxa" w:w="1337"/>
          </w:tcPr>
          <w:p>
            <w:r>
              <w:rPr>
                <w:rFonts w:ascii="Times New Roman" w:hAnsi="Times New Roman"/>
                <w:sz w:val="20"/>
              </w:rPr>
              <w:t>0.138</w:t>
            </w:r>
          </w:p>
        </w:tc>
      </w:tr>
      <w:tr>
        <w:tc>
          <w:tcPr>
            <w:tcW w:type="dxa" w:w="1337"/>
          </w:tcPr>
          <w:p>
            <w:r>
              <w:rPr>
                <w:rFonts w:ascii="Times New Roman" w:hAnsi="Times New Roman"/>
                <w:sz w:val="20"/>
              </w:rPr>
              <w:t>Logistic Regression</w:t>
            </w:r>
          </w:p>
        </w:tc>
        <w:tc>
          <w:tcPr>
            <w:tcW w:type="dxa" w:w="1337"/>
          </w:tcPr>
          <w:p>
            <w:r>
              <w:rPr>
                <w:rFonts w:ascii="Times New Roman" w:hAnsi="Times New Roman"/>
                <w:sz w:val="20"/>
              </w:rPr>
              <w:t>0.548</w:t>
            </w:r>
          </w:p>
        </w:tc>
        <w:tc>
          <w:tcPr>
            <w:tcW w:type="dxa" w:w="1337"/>
          </w:tcPr>
          <w:p>
            <w:r>
              <w:rPr>
                <w:rFonts w:ascii="Times New Roman" w:hAnsi="Times New Roman"/>
                <w:sz w:val="20"/>
              </w:rPr>
              <w:t>0.683</w:t>
            </w:r>
          </w:p>
        </w:tc>
        <w:tc>
          <w:tcPr>
            <w:tcW w:type="dxa" w:w="1337"/>
          </w:tcPr>
          <w:p>
            <w:r>
              <w:rPr>
                <w:rFonts w:ascii="Times New Roman" w:hAnsi="Times New Roman"/>
                <w:sz w:val="20"/>
              </w:rPr>
              <w:t>0.634</w:t>
            </w:r>
          </w:p>
        </w:tc>
        <w:tc>
          <w:tcPr>
            <w:tcW w:type="dxa" w:w="1337"/>
          </w:tcPr>
          <w:p>
            <w:r>
              <w:rPr>
                <w:rFonts w:ascii="Times New Roman" w:hAnsi="Times New Roman"/>
                <w:sz w:val="20"/>
              </w:rPr>
              <w:t>0.622</w:t>
            </w:r>
          </w:p>
        </w:tc>
        <w:tc>
          <w:tcPr>
            <w:tcW w:type="dxa" w:w="1337"/>
          </w:tcPr>
          <w:p>
            <w:r>
              <w:rPr>
                <w:rFonts w:ascii="Times New Roman" w:hAnsi="Times New Roman"/>
                <w:sz w:val="20"/>
              </w:rPr>
              <w:t>0.069</w:t>
            </w:r>
          </w:p>
        </w:tc>
        <w:tc>
          <w:tcPr>
            <w:tcW w:type="dxa" w:w="1337"/>
          </w:tcPr>
          <w:p>
            <w:r>
              <w:rPr>
                <w:rFonts w:ascii="Times New Roman" w:hAnsi="Times New Roman"/>
                <w:sz w:val="20"/>
              </w:rPr>
              <w:t>0.059</w:t>
            </w:r>
          </w:p>
        </w:tc>
      </w:tr>
    </w:tbl>
    <w:p>
      <w:r>
        <w:br w:type="page"/>
      </w:r>
    </w:p>
    <w:p>
      <w:pPr>
        <w:pStyle w:val="Heading2"/>
      </w:pPr>
      <w:r>
        <w:t>Table 2. Top 10 Genes by SHAP Importance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0"/>
              </w:rPr>
              <w:t>Rank</w:t>
            </w:r>
          </w:p>
        </w:tc>
        <w:tc>
          <w:tcPr>
            <w:tcW w:type="dxa" w:w="1872"/>
          </w:tcPr>
          <w:p>
            <w:r>
              <w:rPr>
                <w:rFonts w:ascii="Times New Roman" w:hAnsi="Times New Roman"/>
                <w:b/>
                <w:sz w:val="20"/>
              </w:rPr>
              <w:t>Gene ID</w:t>
            </w:r>
          </w:p>
        </w:tc>
        <w:tc>
          <w:tcPr>
            <w:tcW w:type="dxa" w:w="1872"/>
          </w:tcPr>
          <w:p>
            <w:r>
              <w:rPr>
                <w:rFonts w:ascii="Times New Roman" w:hAnsi="Times New Roman"/>
                <w:b/>
                <w:sz w:val="20"/>
              </w:rPr>
              <w:t>Mean |SHAP|</w:t>
            </w:r>
          </w:p>
        </w:tc>
        <w:tc>
          <w:tcPr>
            <w:tcW w:type="dxa" w:w="1872"/>
          </w:tcPr>
          <w:p>
            <w:r>
              <w:rPr>
                <w:rFonts w:ascii="Times New Roman" w:hAnsi="Times New Roman"/>
                <w:b/>
                <w:sz w:val="20"/>
              </w:rPr>
              <w:t>Gene Symbol</w:t>
            </w:r>
          </w:p>
        </w:tc>
        <w:tc>
          <w:tcPr>
            <w:tcW w:type="dxa" w:w="1872"/>
          </w:tcPr>
          <w:p>
            <w:r>
              <w:rPr>
                <w:rFonts w:ascii="Times New Roman" w:hAnsi="Times New Roman"/>
                <w:b/>
                <w:sz w:val="20"/>
              </w:rPr>
              <w:t>Function</w:t>
            </w:r>
          </w:p>
        </w:tc>
      </w:tr>
      <w:tr>
        <w:tc>
          <w:tcPr>
            <w:tcW w:type="dxa" w:w="1872"/>
          </w:tcPr>
          <w:p>
            <w:r>
              <w:rPr>
                <w:rFonts w:ascii="Times New Roman" w:hAnsi="Times New Roman"/>
                <w:sz w:val="18"/>
              </w:rPr>
              <w:t>1</w:t>
            </w:r>
          </w:p>
        </w:tc>
        <w:tc>
          <w:tcPr>
            <w:tcW w:type="dxa" w:w="1872"/>
          </w:tcPr>
          <w:p>
            <w:r>
              <w:rPr>
                <w:rFonts w:ascii="Times New Roman" w:hAnsi="Times New Roman"/>
                <w:sz w:val="18"/>
              </w:rPr>
              <w:t>ENSG00000135093</w:t>
            </w:r>
          </w:p>
        </w:tc>
        <w:tc>
          <w:tcPr>
            <w:tcW w:type="dxa" w:w="1872"/>
          </w:tcPr>
          <w:p>
            <w:r>
              <w:rPr>
                <w:rFonts w:ascii="Times New Roman" w:hAnsi="Times New Roman"/>
                <w:sz w:val="18"/>
              </w:rPr>
              <w:t>1.369</w:t>
            </w:r>
          </w:p>
        </w:tc>
        <w:tc>
          <w:tcPr>
            <w:tcW w:type="dxa" w:w="1872"/>
          </w:tcPr>
          <w:p>
            <w:r>
              <w:rPr>
                <w:rFonts w:ascii="Times New Roman" w:hAnsi="Times New Roman"/>
                <w:sz w:val="18"/>
              </w:rPr>
              <w:t>USP30</w:t>
            </w:r>
          </w:p>
        </w:tc>
        <w:tc>
          <w:tcPr>
            <w:tcW w:type="dxa" w:w="1872"/>
          </w:tcPr>
          <w:p>
            <w:r>
              <w:rPr>
                <w:rFonts w:ascii="Times New Roman" w:hAnsi="Times New Roman"/>
                <w:sz w:val="18"/>
              </w:rPr>
              <w:t>Ubiquitin-specific protease 30</w:t>
            </w:r>
          </w:p>
        </w:tc>
      </w:tr>
      <w:tr>
        <w:tc>
          <w:tcPr>
            <w:tcW w:type="dxa" w:w="1872"/>
          </w:tcPr>
          <w:p>
            <w:r>
              <w:rPr>
                <w:rFonts w:ascii="Times New Roman" w:hAnsi="Times New Roman"/>
                <w:sz w:val="18"/>
              </w:rPr>
              <w:t>2</w:t>
            </w:r>
          </w:p>
        </w:tc>
        <w:tc>
          <w:tcPr>
            <w:tcW w:type="dxa" w:w="1872"/>
          </w:tcPr>
          <w:p>
            <w:r>
              <w:rPr>
                <w:rFonts w:ascii="Times New Roman" w:hAnsi="Times New Roman"/>
                <w:sz w:val="18"/>
              </w:rPr>
              <w:t>ENSG00000151952</w:t>
            </w:r>
          </w:p>
        </w:tc>
        <w:tc>
          <w:tcPr>
            <w:tcW w:type="dxa" w:w="1872"/>
          </w:tcPr>
          <w:p>
            <w:r>
              <w:rPr>
                <w:rFonts w:ascii="Times New Roman" w:hAnsi="Times New Roman"/>
                <w:sz w:val="18"/>
              </w:rPr>
              <w:t>0.655</w:t>
            </w:r>
          </w:p>
        </w:tc>
        <w:tc>
          <w:tcPr>
            <w:tcW w:type="dxa" w:w="1872"/>
          </w:tcPr>
          <w:p>
            <w:r>
              <w:rPr>
                <w:rFonts w:ascii="Times New Roman" w:hAnsi="Times New Roman"/>
                <w:sz w:val="18"/>
              </w:rPr>
              <w:t>TMEM132D</w:t>
            </w:r>
          </w:p>
        </w:tc>
        <w:tc>
          <w:tcPr>
            <w:tcW w:type="dxa" w:w="1872"/>
          </w:tcPr>
          <w:p>
            <w:r>
              <w:rPr>
                <w:rFonts w:ascii="Times New Roman" w:hAnsi="Times New Roman"/>
                <w:sz w:val="18"/>
              </w:rPr>
              <w:t>Transmembrane protein 132D</w:t>
            </w:r>
          </w:p>
        </w:tc>
      </w:tr>
      <w:tr>
        <w:tc>
          <w:tcPr>
            <w:tcW w:type="dxa" w:w="1872"/>
          </w:tcPr>
          <w:p>
            <w:r>
              <w:rPr>
                <w:rFonts w:ascii="Times New Roman" w:hAnsi="Times New Roman"/>
                <w:sz w:val="18"/>
              </w:rPr>
              <w:t>3</w:t>
            </w:r>
          </w:p>
        </w:tc>
        <w:tc>
          <w:tcPr>
            <w:tcW w:type="dxa" w:w="1872"/>
          </w:tcPr>
          <w:p>
            <w:r>
              <w:rPr>
                <w:rFonts w:ascii="Times New Roman" w:hAnsi="Times New Roman"/>
                <w:sz w:val="18"/>
              </w:rPr>
              <w:t>ENSG00000182809</w:t>
            </w:r>
          </w:p>
        </w:tc>
        <w:tc>
          <w:tcPr>
            <w:tcW w:type="dxa" w:w="1872"/>
          </w:tcPr>
          <w:p>
            <w:r>
              <w:rPr>
                <w:rFonts w:ascii="Times New Roman" w:hAnsi="Times New Roman"/>
                <w:sz w:val="18"/>
              </w:rPr>
              <w:t>0.500</w:t>
            </w:r>
          </w:p>
        </w:tc>
        <w:tc>
          <w:tcPr>
            <w:tcW w:type="dxa" w:w="1872"/>
          </w:tcPr>
          <w:p>
            <w:r>
              <w:rPr>
                <w:rFonts w:ascii="Times New Roman" w:hAnsi="Times New Roman"/>
                <w:sz w:val="18"/>
              </w:rPr>
              <w:t>CRIP2</w:t>
            </w:r>
          </w:p>
        </w:tc>
        <w:tc>
          <w:tcPr>
            <w:tcW w:type="dxa" w:w="1872"/>
          </w:tcPr>
          <w:p>
            <w:r>
              <w:rPr>
                <w:rFonts w:ascii="Times New Roman" w:hAnsi="Times New Roman"/>
                <w:sz w:val="18"/>
              </w:rPr>
              <w:t>Cysteine-rich protein 2</w:t>
            </w:r>
          </w:p>
        </w:tc>
      </w:tr>
      <w:tr>
        <w:tc>
          <w:tcPr>
            <w:tcW w:type="dxa" w:w="1872"/>
          </w:tcPr>
          <w:p>
            <w:r>
              <w:rPr>
                <w:rFonts w:ascii="Times New Roman" w:hAnsi="Times New Roman"/>
                <w:sz w:val="18"/>
              </w:rPr>
              <w:t>4</w:t>
            </w:r>
          </w:p>
        </w:tc>
        <w:tc>
          <w:tcPr>
            <w:tcW w:type="dxa" w:w="1872"/>
          </w:tcPr>
          <w:p>
            <w:r>
              <w:rPr>
                <w:rFonts w:ascii="Times New Roman" w:hAnsi="Times New Roman"/>
                <w:sz w:val="18"/>
              </w:rPr>
              <w:t>ENSG00000185024</w:t>
            </w:r>
          </w:p>
        </w:tc>
        <w:tc>
          <w:tcPr>
            <w:tcW w:type="dxa" w:w="1872"/>
          </w:tcPr>
          <w:p>
            <w:r>
              <w:rPr>
                <w:rFonts w:ascii="Times New Roman" w:hAnsi="Times New Roman"/>
                <w:sz w:val="18"/>
              </w:rPr>
              <w:t>0.456</w:t>
            </w:r>
          </w:p>
        </w:tc>
        <w:tc>
          <w:tcPr>
            <w:tcW w:type="dxa" w:w="1872"/>
          </w:tcPr>
          <w:p>
            <w:r>
              <w:rPr>
                <w:rFonts w:ascii="Times New Roman" w:hAnsi="Times New Roman"/>
                <w:sz w:val="18"/>
              </w:rPr>
              <w:t>BRF1</w:t>
            </w:r>
          </w:p>
        </w:tc>
        <w:tc>
          <w:tcPr>
            <w:tcW w:type="dxa" w:w="1872"/>
          </w:tcPr>
          <w:p>
            <w:r>
              <w:rPr>
                <w:rFonts w:ascii="Times New Roman" w:hAnsi="Times New Roman"/>
                <w:sz w:val="18"/>
              </w:rPr>
              <w:t>RNA polymerase III transcription factor</w:t>
            </w:r>
          </w:p>
        </w:tc>
      </w:tr>
      <w:tr>
        <w:tc>
          <w:tcPr>
            <w:tcW w:type="dxa" w:w="1872"/>
          </w:tcPr>
          <w:p>
            <w:r>
              <w:rPr>
                <w:rFonts w:ascii="Times New Roman" w:hAnsi="Times New Roman"/>
                <w:sz w:val="18"/>
              </w:rPr>
              <w:t>5</w:t>
            </w:r>
          </w:p>
        </w:tc>
        <w:tc>
          <w:tcPr>
            <w:tcW w:type="dxa" w:w="1872"/>
          </w:tcPr>
          <w:p>
            <w:r>
              <w:rPr>
                <w:rFonts w:ascii="Times New Roman" w:hAnsi="Times New Roman"/>
                <w:sz w:val="18"/>
              </w:rPr>
              <w:t>ENSG00000198874</w:t>
            </w:r>
          </w:p>
        </w:tc>
        <w:tc>
          <w:tcPr>
            <w:tcW w:type="dxa" w:w="1872"/>
          </w:tcPr>
          <w:p>
            <w:r>
              <w:rPr>
                <w:rFonts w:ascii="Times New Roman" w:hAnsi="Times New Roman"/>
                <w:sz w:val="18"/>
              </w:rPr>
              <w:t>0.391</w:t>
            </w:r>
          </w:p>
        </w:tc>
        <w:tc>
          <w:tcPr>
            <w:tcW w:type="dxa" w:w="1872"/>
          </w:tcPr>
          <w:p>
            <w:r>
              <w:rPr>
                <w:rFonts w:ascii="Times New Roman" w:hAnsi="Times New Roman"/>
                <w:sz w:val="18"/>
              </w:rPr>
              <w:t>TYW1</w:t>
            </w:r>
          </w:p>
        </w:tc>
        <w:tc>
          <w:tcPr>
            <w:tcW w:type="dxa" w:w="1872"/>
          </w:tcPr>
          <w:p>
            <w:r>
              <w:rPr>
                <w:rFonts w:ascii="Times New Roman" w:hAnsi="Times New Roman"/>
                <w:sz w:val="18"/>
              </w:rPr>
              <w:t>tRNA-yW synthesizing protein 1</w:t>
            </w:r>
          </w:p>
        </w:tc>
      </w:tr>
      <w:tr>
        <w:tc>
          <w:tcPr>
            <w:tcW w:type="dxa" w:w="1872"/>
          </w:tcPr>
          <w:p>
            <w:r>
              <w:rPr>
                <w:rFonts w:ascii="Times New Roman" w:hAnsi="Times New Roman"/>
                <w:sz w:val="18"/>
              </w:rPr>
              <w:t>6</w:t>
            </w:r>
          </w:p>
        </w:tc>
        <w:tc>
          <w:tcPr>
            <w:tcW w:type="dxa" w:w="1872"/>
          </w:tcPr>
          <w:p>
            <w:r>
              <w:rPr>
                <w:rFonts w:ascii="Times New Roman" w:hAnsi="Times New Roman"/>
                <w:sz w:val="18"/>
              </w:rPr>
              <w:t>ENSG00000067365</w:t>
            </w:r>
          </w:p>
        </w:tc>
        <w:tc>
          <w:tcPr>
            <w:tcW w:type="dxa" w:w="1872"/>
          </w:tcPr>
          <w:p>
            <w:r>
              <w:rPr>
                <w:rFonts w:ascii="Times New Roman" w:hAnsi="Times New Roman"/>
                <w:sz w:val="18"/>
              </w:rPr>
              <w:t>0.364</w:t>
            </w:r>
          </w:p>
        </w:tc>
        <w:tc>
          <w:tcPr>
            <w:tcW w:type="dxa" w:w="1872"/>
          </w:tcPr>
          <w:p>
            <w:r>
              <w:rPr>
                <w:rFonts w:ascii="Times New Roman" w:hAnsi="Times New Roman"/>
                <w:sz w:val="18"/>
              </w:rPr>
              <w:t>METTL22</w:t>
            </w:r>
          </w:p>
        </w:tc>
        <w:tc>
          <w:tcPr>
            <w:tcW w:type="dxa" w:w="1872"/>
          </w:tcPr>
          <w:p>
            <w:r>
              <w:rPr>
                <w:rFonts w:ascii="Times New Roman" w:hAnsi="Times New Roman"/>
                <w:sz w:val="18"/>
              </w:rPr>
              <w:t>Methyltransferase-like 22</w:t>
            </w:r>
          </w:p>
        </w:tc>
      </w:tr>
      <w:tr>
        <w:tc>
          <w:tcPr>
            <w:tcW w:type="dxa" w:w="1872"/>
          </w:tcPr>
          <w:p>
            <w:r>
              <w:rPr>
                <w:rFonts w:ascii="Times New Roman" w:hAnsi="Times New Roman"/>
                <w:sz w:val="18"/>
              </w:rPr>
              <w:t>7</w:t>
            </w:r>
          </w:p>
        </w:tc>
        <w:tc>
          <w:tcPr>
            <w:tcW w:type="dxa" w:w="1872"/>
          </w:tcPr>
          <w:p>
            <w:r>
              <w:rPr>
                <w:rFonts w:ascii="Times New Roman" w:hAnsi="Times New Roman"/>
                <w:sz w:val="18"/>
              </w:rPr>
              <w:t>ENSG00000101181</w:t>
            </w:r>
          </w:p>
        </w:tc>
        <w:tc>
          <w:tcPr>
            <w:tcW w:type="dxa" w:w="1872"/>
          </w:tcPr>
          <w:p>
            <w:r>
              <w:rPr>
                <w:rFonts w:ascii="Times New Roman" w:hAnsi="Times New Roman"/>
                <w:sz w:val="18"/>
              </w:rPr>
              <w:t>0.302</w:t>
            </w:r>
          </w:p>
        </w:tc>
        <w:tc>
          <w:tcPr>
            <w:tcW w:type="dxa" w:w="1872"/>
          </w:tcPr>
          <w:p>
            <w:r>
              <w:rPr>
                <w:rFonts w:ascii="Times New Roman" w:hAnsi="Times New Roman"/>
                <w:sz w:val="18"/>
              </w:rPr>
              <w:t>MTG2</w:t>
            </w:r>
          </w:p>
        </w:tc>
        <w:tc>
          <w:tcPr>
            <w:tcW w:type="dxa" w:w="1872"/>
          </w:tcPr>
          <w:p>
            <w:r>
              <w:rPr>
                <w:rFonts w:ascii="Times New Roman" w:hAnsi="Times New Roman"/>
                <w:sz w:val="18"/>
              </w:rPr>
              <w:t>Mitochondrial ribosome-associated GTPase 2</w:t>
            </w:r>
          </w:p>
        </w:tc>
      </w:tr>
      <w:tr>
        <w:tc>
          <w:tcPr>
            <w:tcW w:type="dxa" w:w="1872"/>
          </w:tcPr>
          <w:p>
            <w:r>
              <w:rPr>
                <w:rFonts w:ascii="Times New Roman" w:hAnsi="Times New Roman"/>
                <w:sz w:val="18"/>
              </w:rPr>
              <w:t>8</w:t>
            </w:r>
          </w:p>
        </w:tc>
        <w:tc>
          <w:tcPr>
            <w:tcW w:type="dxa" w:w="1872"/>
          </w:tcPr>
          <w:p>
            <w:r>
              <w:rPr>
                <w:rFonts w:ascii="Times New Roman" w:hAnsi="Times New Roman"/>
                <w:sz w:val="18"/>
              </w:rPr>
              <w:t>ENSG00000197694</w:t>
            </w:r>
          </w:p>
        </w:tc>
        <w:tc>
          <w:tcPr>
            <w:tcW w:type="dxa" w:w="1872"/>
          </w:tcPr>
          <w:p>
            <w:r>
              <w:rPr>
                <w:rFonts w:ascii="Times New Roman" w:hAnsi="Times New Roman"/>
                <w:sz w:val="18"/>
              </w:rPr>
              <w:t>0.289</w:t>
            </w:r>
          </w:p>
        </w:tc>
        <w:tc>
          <w:tcPr>
            <w:tcW w:type="dxa" w:w="1872"/>
          </w:tcPr>
          <w:p>
            <w:r>
              <w:rPr>
                <w:rFonts w:ascii="Times New Roman" w:hAnsi="Times New Roman"/>
                <w:sz w:val="18"/>
              </w:rPr>
              <w:t>SPTAN1</w:t>
            </w:r>
          </w:p>
        </w:tc>
        <w:tc>
          <w:tcPr>
            <w:tcW w:type="dxa" w:w="1872"/>
          </w:tcPr>
          <w:p>
            <w:r>
              <w:rPr>
                <w:rFonts w:ascii="Times New Roman" w:hAnsi="Times New Roman"/>
                <w:sz w:val="18"/>
              </w:rPr>
              <w:t>Spectrin alpha chain, non-erythrocytic 1</w:t>
            </w:r>
          </w:p>
        </w:tc>
      </w:tr>
      <w:tr>
        <w:tc>
          <w:tcPr>
            <w:tcW w:type="dxa" w:w="1872"/>
          </w:tcPr>
          <w:p>
            <w:r>
              <w:rPr>
                <w:rFonts w:ascii="Times New Roman" w:hAnsi="Times New Roman"/>
                <w:sz w:val="18"/>
              </w:rPr>
              <w:t>9</w:t>
            </w:r>
          </w:p>
        </w:tc>
        <w:tc>
          <w:tcPr>
            <w:tcW w:type="dxa" w:w="1872"/>
          </w:tcPr>
          <w:p>
            <w:r>
              <w:rPr>
                <w:rFonts w:ascii="Times New Roman" w:hAnsi="Times New Roman"/>
                <w:sz w:val="18"/>
              </w:rPr>
              <w:t>ENSG00000100473</w:t>
            </w:r>
          </w:p>
        </w:tc>
        <w:tc>
          <w:tcPr>
            <w:tcW w:type="dxa" w:w="1872"/>
          </w:tcPr>
          <w:p>
            <w:r>
              <w:rPr>
                <w:rFonts w:ascii="Times New Roman" w:hAnsi="Times New Roman"/>
                <w:sz w:val="18"/>
              </w:rPr>
              <w:t>0.271</w:t>
            </w:r>
          </w:p>
        </w:tc>
        <w:tc>
          <w:tcPr>
            <w:tcW w:type="dxa" w:w="1872"/>
          </w:tcPr>
          <w:p>
            <w:r>
              <w:rPr>
                <w:rFonts w:ascii="Times New Roman" w:hAnsi="Times New Roman"/>
                <w:sz w:val="18"/>
              </w:rPr>
              <w:t>COCH</w:t>
            </w:r>
          </w:p>
        </w:tc>
        <w:tc>
          <w:tcPr>
            <w:tcW w:type="dxa" w:w="1872"/>
          </w:tcPr>
          <w:p>
            <w:r>
              <w:rPr>
                <w:rFonts w:ascii="Times New Roman" w:hAnsi="Times New Roman"/>
                <w:sz w:val="18"/>
              </w:rPr>
              <w:t>Cochlin</w:t>
            </w:r>
          </w:p>
        </w:tc>
      </w:tr>
      <w:tr>
        <w:tc>
          <w:tcPr>
            <w:tcW w:type="dxa" w:w="1872"/>
          </w:tcPr>
          <w:p>
            <w:r>
              <w:rPr>
                <w:rFonts w:ascii="Times New Roman" w:hAnsi="Times New Roman"/>
                <w:sz w:val="18"/>
              </w:rPr>
              <w:t>10</w:t>
            </w:r>
          </w:p>
        </w:tc>
        <w:tc>
          <w:tcPr>
            <w:tcW w:type="dxa" w:w="1872"/>
          </w:tcPr>
          <w:p>
            <w:r>
              <w:rPr>
                <w:rFonts w:ascii="Times New Roman" w:hAnsi="Times New Roman"/>
                <w:sz w:val="18"/>
              </w:rPr>
              <w:t>ENSG00000138758</w:t>
            </w:r>
          </w:p>
        </w:tc>
        <w:tc>
          <w:tcPr>
            <w:tcW w:type="dxa" w:w="1872"/>
          </w:tcPr>
          <w:p>
            <w:r>
              <w:rPr>
                <w:rFonts w:ascii="Times New Roman" w:hAnsi="Times New Roman"/>
                <w:sz w:val="18"/>
              </w:rPr>
              <w:t>0.238</w:t>
            </w:r>
          </w:p>
        </w:tc>
        <w:tc>
          <w:tcPr>
            <w:tcW w:type="dxa" w:w="1872"/>
          </w:tcPr>
          <w:p>
            <w:r>
              <w:rPr>
                <w:rFonts w:ascii="Times New Roman" w:hAnsi="Times New Roman"/>
                <w:sz w:val="18"/>
              </w:rPr>
              <w:t>SEPTIN11</w:t>
            </w:r>
          </w:p>
        </w:tc>
        <w:tc>
          <w:tcPr>
            <w:tcW w:type="dxa" w:w="1872"/>
          </w:tcPr>
          <w:p>
            <w:r>
              <w:rPr>
                <w:rFonts w:ascii="Times New Roman" w:hAnsi="Times New Roman"/>
                <w:sz w:val="18"/>
              </w:rPr>
              <w:t>Septin 11</w:t>
            </w:r>
          </w:p>
        </w:tc>
      </w:tr>
    </w:tbl>
    <w:p>
      <w:r>
        <w:br w:type="page"/>
      </w:r>
    </w:p>
    <w:p>
      <w:pPr>
        <w:pStyle w:val="Heading1"/>
      </w:pPr>
      <w:r>
        <w:t>References</w:t>
      </w:r>
    </w:p>
    <w:p>
      <w:pPr>
        <w:pStyle w:val="ListNumber"/>
      </w:pPr>
      <w:r>
        <w:rPr>
          <w:rFonts w:ascii="Times New Roman" w:hAnsi="Times New Roman"/>
          <w:sz w:val="20"/>
        </w:rPr>
        <w:t>1. WHO. Global Tuberculosis Report 2023. Geneva: World Health Organization; 2023.</w:t>
      </w:r>
    </w:p>
    <w:p>
      <w:pPr>
        <w:pStyle w:val="ListNumber"/>
      </w:pPr>
      <w:r>
        <w:rPr>
          <w:rFonts w:ascii="Times New Roman" w:hAnsi="Times New Roman"/>
          <w:sz w:val="20"/>
        </w:rPr>
        <w:t>2. Nahid P, Dorman SE, Alipanah N, et al. Official American Thoracic Society/Centers for Disease Control and Prevention/Infectious Diseases Society of America Clinical Practice Guidelines: Treatment of Drug-Susceptible Tuberculosis. Clin Infect Dis. 2016;63(7):e147-e195. DOI: 10.1093/cid/ciw376</w:t>
      </w:r>
    </w:p>
    <w:p>
      <w:pPr>
        <w:pStyle w:val="ListNumber"/>
      </w:pPr>
      <w:r>
        <w:rPr>
          <w:rFonts w:ascii="Times New Roman" w:hAnsi="Times New Roman"/>
          <w:sz w:val="20"/>
        </w:rPr>
        <w:t>3. Zumla A, Raviglione M, Hafner R, von Reyn CF. Tuberculosis. N Engl J Med. 2013;368(8):745-755. DOI: 10.1056/NEJMra1200894</w:t>
      </w:r>
    </w:p>
    <w:p>
      <w:pPr>
        <w:pStyle w:val="ListNumber"/>
      </w:pPr>
      <w:r>
        <w:rPr>
          <w:rFonts w:ascii="Times New Roman" w:hAnsi="Times New Roman"/>
          <w:sz w:val="20"/>
        </w:rPr>
        <w:t>4. WHO. Definitions and reporting framework for tuberculosis – 2013 revision. Geneva: World Health Organization; 2013.</w:t>
      </w:r>
    </w:p>
    <w:p>
      <w:pPr>
        <w:pStyle w:val="ListNumber"/>
      </w:pPr>
      <w:r>
        <w:rPr>
          <w:rFonts w:ascii="Times New Roman" w:hAnsi="Times New Roman"/>
          <w:sz w:val="20"/>
        </w:rPr>
        <w:t>5. Walzl G, McNerney R, du Plessis N, et al. Tuberculosis: advances and challenges in development of new diagnostics and biomarkers. Lancet Infect Dis. 2018;18(7):e199-e210. DOI: 10.1016/S1473-3099(18)30111-7</w:t>
      </w:r>
    </w:p>
    <w:p>
      <w:pPr>
        <w:pStyle w:val="ListNumber"/>
      </w:pPr>
      <w:r>
        <w:rPr>
          <w:rFonts w:ascii="Times New Roman" w:hAnsi="Times New Roman"/>
          <w:sz w:val="20"/>
        </w:rPr>
        <w:t>6. Sweeney TE, Braviak L, Tato CM, Khatri P. Genome-wide expression for diagnosis of pulmonary tuberculosis: a multicohort analysis. Lancet Respir Med. 2016;4(3):213-224. DOI: 10.1016/S2213-2600(16)00048-5</w:t>
      </w:r>
    </w:p>
    <w:p>
      <w:pPr>
        <w:pStyle w:val="ListNumber"/>
      </w:pPr>
      <w:r>
        <w:rPr>
          <w:rFonts w:ascii="Times New Roman" w:hAnsi="Times New Roman"/>
          <w:sz w:val="20"/>
        </w:rPr>
        <w:t>7. Berry MP, Graham CM, McNab FW, et al. An interferon-inducible neutrophil-driven blood transcriptional signature in human tuberculosis. Nature. 2010;466(7309):973-977. DOI: 10.1038/nature09247</w:t>
      </w:r>
    </w:p>
    <w:p>
      <w:pPr>
        <w:pStyle w:val="ListNumber"/>
      </w:pPr>
      <w:r>
        <w:rPr>
          <w:rFonts w:ascii="Times New Roman" w:hAnsi="Times New Roman"/>
          <w:sz w:val="20"/>
        </w:rPr>
        <w:t>8. Zak DE, Penn-Nicholson A, Scriba TJ, et al. A blood RNA signature for tuberculosis disease risk: a prospective cohort study. Lancet. 2016;387(10035):2312-2322. DOI: 10.1016/S0140-6736(15)01316-1</w:t>
      </w:r>
    </w:p>
    <w:p>
      <w:pPr>
        <w:pStyle w:val="ListNumber"/>
      </w:pPr>
      <w:r>
        <w:rPr>
          <w:rFonts w:ascii="Times New Roman" w:hAnsi="Times New Roman"/>
          <w:sz w:val="20"/>
        </w:rPr>
        <w:t>9. Berry MP, Blankley S, Graham CM, Bloom CI, O'Garra A. Systems approaches to studying the immune response in tuberculosis. Curr Opin Immunol. 2013;25(5):579-587. DOI: 10.1016/j.coi.2013.08.003</w:t>
      </w:r>
    </w:p>
    <w:p>
      <w:pPr>
        <w:pStyle w:val="ListNumber"/>
      </w:pPr>
      <w:r>
        <w:rPr>
          <w:rFonts w:ascii="Times New Roman" w:hAnsi="Times New Roman"/>
          <w:sz w:val="20"/>
        </w:rPr>
        <w:t>10. WHO. Treatment of tuberculosis: guidelines. 4th edition. Geneva: World Health Organization; 2010.</w:t>
      </w:r>
    </w:p>
    <w:p>
      <w:pPr>
        <w:pStyle w:val="ListNumber"/>
      </w:pPr>
      <w:r>
        <w:rPr>
          <w:rFonts w:ascii="Times New Roman" w:hAnsi="Times New Roman"/>
          <w:sz w:val="20"/>
        </w:rPr>
        <w:t>11. Varma S, Simon R. Bias in error estimation when using cross-validation for model selection. BMC Bioinformatics. 2006;7:91. DOI: 10.1186/1471-2105-7-91</w:t>
      </w:r>
    </w:p>
    <w:p>
      <w:pPr>
        <w:pStyle w:val="ListNumber"/>
      </w:pPr>
      <w:r>
        <w:rPr>
          <w:rFonts w:ascii="Times New Roman" w:hAnsi="Times New Roman"/>
          <w:sz w:val="20"/>
        </w:rPr>
        <w:t>12. Lundberg SM, Lee SI. A unified approach to interpreting model predictions. Advances in Neural Information Processing Systems. 2017;30:4765-4774.</w:t>
      </w:r>
    </w:p>
    <w:p>
      <w:pPr>
        <w:pStyle w:val="ListNumber"/>
      </w:pPr>
      <w:r>
        <w:rPr>
          <w:rFonts w:ascii="Times New Roman" w:hAnsi="Times New Roman"/>
          <w:sz w:val="20"/>
        </w:rPr>
        <w:t>13. Thompson EG, Du Y, Malherbe ST, et al. Host blood RNA signatures predict the outcome of tuberculosis treatment. Tuberculosis (Edinb). 2017;107:48-58. DOI: 10.1016/j.tube.2017.08.004</w:t>
      </w:r>
    </w:p>
    <w:p>
      <w:r>
        <w:br w:type="page"/>
      </w:r>
    </w:p>
    <w:p>
      <w:pPr>
        <w:pStyle w:val="Heading1"/>
      </w:pPr>
      <w:r>
        <w:t>Author Contributions</w:t>
      </w:r>
    </w:p>
    <w:p>
      <w:r>
        <w:rPr>
          <w:rFonts w:ascii="Times New Roman" w:hAnsi="Times New Roman"/>
          <w:sz w:val="24"/>
        </w:rPr>
        <w:t>Dr. Siddalingaiah H S conceived the study, performed all data analysis, developed the machine learning models, generated all figures and tables, interpreted the results, and wrote the manuscript.</w:t>
      </w:r>
    </w:p>
    <w:p>
      <w:pPr>
        <w:pStyle w:val="Heading1"/>
      </w:pPr>
      <w:r>
        <w:t>Funding</w:t>
      </w:r>
    </w:p>
    <w:p>
      <w:r>
        <w:rPr>
          <w:rFonts w:ascii="Times New Roman" w:hAnsi="Times New Roman"/>
          <w:sz w:val="24"/>
        </w:rPr>
        <w:t>This research received no specific grant from any funding agency in the public, commercial, or not-for-profit sectors.</w:t>
      </w:r>
    </w:p>
    <w:p>
      <w:pPr>
        <w:pStyle w:val="Heading1"/>
      </w:pPr>
      <w:r>
        <w:t>Conflicts of Interest</w:t>
      </w:r>
    </w:p>
    <w:p>
      <w:r>
        <w:rPr>
          <w:rFonts w:ascii="Times New Roman" w:hAnsi="Times New Roman"/>
          <w:sz w:val="24"/>
        </w:rPr>
        <w:t>The author declares no competing interests.</w:t>
      </w:r>
    </w:p>
    <w:p>
      <w:pPr>
        <w:pStyle w:val="Heading1"/>
      </w:pPr>
      <w:r>
        <w:t>Data Availability</w:t>
      </w:r>
    </w:p>
    <w:p>
      <w:r>
        <w:rPr>
          <w:rFonts w:ascii="Times New Roman" w:hAnsi="Times New Roman"/>
          <w:sz w:val="24"/>
        </w:rPr>
        <w:t>Data: All data are publicly available from the Gene Expression Omnibus (GEO) under accession number GSE89403 (https://www.ncbi.nlm.nih.gov/geo/query/acc.cgi?acc=GSE89403).</w:t>
      </w:r>
    </w:p>
    <w:p>
      <w:r>
        <w:rPr>
          <w:rFonts w:ascii="Times New Roman" w:hAnsi="Times New Roman"/>
          <w:sz w:val="24"/>
        </w:rPr>
        <w:t>Code: All analysis code, trained models, and documentation are available at https://github.com/hssling/TB_Treatment_Failure_Prediction_by_Transcriptomics under MIT license.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