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Baseline Blood Transcriptomic Signatures Predict Treatment Failure in Tuberculosis: A Machine Learning Study</w:t>
      </w:r>
    </w:p>
    <w:p/>
    <w:p>
      <w:pPr>
        <w:jc w:val="center"/>
      </w:pPr>
      <w:r>
        <w:rPr>
          <w:rFonts w:ascii="Times New Roman" w:hAnsi="Times New Roman"/>
          <w:b w:val="0"/>
          <w:i/>
          <w:sz w:val="22"/>
        </w:rPr>
        <w:t>Running Title: Transcriptomics Predict TB Treatment Failure</w:t>
      </w:r>
    </w:p>
    <w:p/>
    <w:p>
      <w:pPr>
        <w:jc w:val="center"/>
      </w:pPr>
      <w:r>
        <w:rPr>
          <w:rFonts w:ascii="Times New Roman" w:hAnsi="Times New Roman"/>
          <w:b/>
          <w:i w:val="0"/>
          <w:sz w:val="24"/>
        </w:rPr>
        <w:t>Siddalingaiah H S, MD, MPH</w:t>
      </w:r>
      <w:r>
        <w:rPr>
          <w:rFonts w:ascii="Times New Roman" w:hAnsi="Times New Roman"/>
          <w:b w:val="0"/>
          <w:i w:val="0"/>
          <w:sz w:val="20"/>
          <w:vertAlign w:val="superscript"/>
        </w:rPr>
        <w:t>1,*</w:t>
      </w:r>
    </w:p>
    <w:p/>
    <w:p>
      <w:pPr>
        <w:jc w:val="center"/>
      </w:pPr>
      <w:r>
        <w:rPr>
          <w:rFonts w:ascii="Times New Roman" w:hAnsi="Times New Roman"/>
          <w:b w:val="0"/>
          <w:i w:val="0"/>
          <w:sz w:val="20"/>
          <w:vertAlign w:val="superscript"/>
        </w:rPr>
        <w:t>1</w:t>
      </w:r>
      <w:r>
        <w:rPr>
          <w:rFonts w:ascii="Times New Roman" w:hAnsi="Times New Roman"/>
          <w:b w:val="0"/>
          <w:i w:val="0"/>
          <w:sz w:val="22"/>
        </w:rPr>
        <w:t>Department of Community Medicine, Shridevi Institute of Medical Sciences and Research Hospital, Tumkur, Karnataka, India</w:t>
      </w:r>
    </w:p>
    <w:p/>
    <w:p>
      <w:pPr>
        <w:jc w:val="center"/>
      </w:pPr>
      <w:r>
        <w:rPr>
          <w:rFonts w:ascii="Times New Roman" w:hAnsi="Times New Roman"/>
          <w:b w:val="0"/>
          <w:i w:val="0"/>
          <w:sz w:val="20"/>
          <w:vertAlign w:val="superscript"/>
        </w:rPr>
        <w:t>*</w:t>
      </w:r>
      <w:r>
        <w:rPr>
          <w:rFonts w:ascii="Times New Roman" w:hAnsi="Times New Roman"/>
          <w:b/>
          <w:i w:val="0"/>
          <w:sz w:val="22"/>
        </w:rPr>
        <w:t>Corresponding Author:</w:t>
      </w:r>
    </w:p>
    <w:p>
      <w:pPr>
        <w:jc w:val="center"/>
      </w:pPr>
      <w:r>
        <w:rPr>
          <w:rFonts w:ascii="Times New Roman" w:hAnsi="Times New Roman"/>
          <w:b w:val="0"/>
          <w:i w:val="0"/>
          <w:sz w:val="22"/>
        </w:rPr>
        <w:t>Dr. Siddalingaiah H S</w:t>
        <w:br/>
        <w:t>Department of Community Medicine</w:t>
        <w:br/>
        <w:t>Shridevi Institute of Medical Sciences and Research Hospital</w:t>
        <w:br/>
        <w:t>Tumkur - 572106, Karnataka, India</w:t>
        <w:br/>
        <w:t>Email: hssling@yahoo.com</w:t>
        <w:br/>
        <w:t>Phone: +91-8941087719</w:t>
        <w:br/>
        <w:t>ORCID: 0000-0002-4771-8285</w:t>
      </w:r>
    </w:p>
    <w:p/>
    <w:p>
      <w:pPr>
        <w:jc w:val="center"/>
      </w:pPr>
      <w:r>
        <w:rPr>
          <w:rFonts w:ascii="Times New Roman" w:hAnsi="Times New Roman"/>
          <w:b w:val="0"/>
          <w:i w:val="0"/>
          <w:sz w:val="20"/>
        </w:rPr>
        <w:t>Word Count: Abstract: 250 | Main Text: 2,500 | References: 17</w:t>
      </w:r>
    </w:p>
    <w:p>
      <w:pPr>
        <w:jc w:val="center"/>
      </w:pPr>
      <w:r>
        <w:rPr>
          <w:rFonts w:ascii="Times New Roman" w:hAnsi="Times New Roman"/>
          <w:b/>
          <w:i w:val="0"/>
          <w:sz w:val="20"/>
        </w:rPr>
        <w:t xml:space="preserve">Keywords: </w:t>
      </w:r>
      <w:r>
        <w:rPr>
          <w:rFonts w:ascii="Times New Roman" w:hAnsi="Times New Roman"/>
          <w:b w:val="0"/>
          <w:i w:val="0"/>
          <w:sz w:val="20"/>
        </w:rPr>
        <w:t>Tuberculosis; Treatment failure; Transcriptomics; Machine learning; Biomarkers; XGBoost; Precision medicine</w:t>
      </w:r>
    </w:p>
    <w:p>
      <w:r>
        <w:br w:type="page"/>
      </w:r>
    </w:p>
    <w:p>
      <w:pPr>
        <w:pStyle w:val="Heading1"/>
        <w:jc w:val="center"/>
      </w:pPr>
      <w:r>
        <w:t>ABSTRACT</w:t>
      </w:r>
    </w:p>
    <w:p>
      <w:r>
        <w:rPr>
          <w:rFonts w:ascii="Times New Roman" w:hAnsi="Times New Roman"/>
          <w:b/>
          <w:i w:val="0"/>
          <w:sz w:val="24"/>
        </w:rPr>
        <w:t xml:space="preserve">Background: </w:t>
      </w:r>
      <w:r>
        <w:rPr>
          <w:rFonts w:ascii="Times New Roman" w:hAnsi="Times New Roman"/>
          <w:b w:val="0"/>
          <w:i w:val="0"/>
          <w:sz w:val="24"/>
        </w:rPr>
        <w:t>Tuberculosis (TB) treatment failure occurs in 15-20% of patients globally, yet no validated biomarkers exist to identify high-risk individuals at diagnosis. We hypothesized that baseline (pre-treatment) blood transcriptomic signatures could predict treatment outcomes, enabling early risk stratification and personalized therapeutic interventions.</w:t>
      </w:r>
    </w:p>
    <w:p>
      <w:r>
        <w:rPr>
          <w:rFonts w:ascii="Times New Roman" w:hAnsi="Times New Roman"/>
          <w:b/>
          <w:i w:val="0"/>
          <w:sz w:val="24"/>
        </w:rPr>
        <w:t xml:space="preserve">Methods: </w:t>
      </w:r>
      <w:r>
        <w:rPr>
          <w:rFonts w:ascii="Times New Roman" w:hAnsi="Times New Roman"/>
          <w:b w:val="0"/>
          <w:i w:val="0"/>
          <w:sz w:val="24"/>
        </w:rPr>
        <w:t>We conducted a retrospective analysis of whole blood RNA-sequencing data from 254 South African TB patients (GEO accession: GSE89403) with documented treatment outcomes (247 cures, 7 failures; 2.8% failure rate). Three machine learning algorithms (Logistic Regression, Random Forest, XGBoost) were trained using nested stratified 3-fold cross-validation with class balancing (scale_pos_weight=35.3 for XGBoost). Feature importance was quantified using SHAP (SHapley Additive exPlanations) values, and biological interpretation was performed via pathway enrichment analysis.</w:t>
      </w:r>
    </w:p>
    <w:p>
      <w:r>
        <w:rPr>
          <w:rFonts w:ascii="Times New Roman" w:hAnsi="Times New Roman"/>
          <w:b/>
          <w:i w:val="0"/>
          <w:sz w:val="24"/>
        </w:rPr>
        <w:t xml:space="preserve">Results: </w:t>
      </w:r>
      <w:r>
        <w:rPr>
          <w:rFonts w:ascii="Times New Roman" w:hAnsi="Times New Roman"/>
          <w:b w:val="0"/>
          <w:i w:val="0"/>
          <w:sz w:val="24"/>
        </w:rPr>
        <w:t>XGBoost achieved optimal performance with mean area under the receiver operating characteristic curve (AUC) of 0.794 (95% CI: 0.699-0.854) across cross-validation folds, significantly outperforming Random Forest (AUC 0.774) and Logistic Regression (AUC 0.622). The top predictive gene was USP30 (ubiquitin-specific protease 30; mean |SHAP|=1.369), followed by TMEM132D and CRIP2. At 90% sensitivity, the model achieved 60% specificity, with negative predictive value of 99.7%. Top genes were enriched for protein degradation, mitochondrial function, and RNA processing pathways.</w:t>
      </w:r>
    </w:p>
    <w:p>
      <w:r>
        <w:rPr>
          <w:rFonts w:ascii="Times New Roman" w:hAnsi="Times New Roman"/>
          <w:b/>
          <w:i w:val="0"/>
          <w:sz w:val="24"/>
        </w:rPr>
        <w:t xml:space="preserve">Conclusions: </w:t>
      </w:r>
      <w:r>
        <w:rPr>
          <w:rFonts w:ascii="Times New Roman" w:hAnsi="Times New Roman"/>
          <w:b w:val="0"/>
          <w:i w:val="0"/>
          <w:sz w:val="24"/>
        </w:rPr>
        <w:t>Baseline blood transcriptomics can predict TB treatment failure with good accuracy (AUC 0.794), providing proof-of-concept for transcriptomic-based risk stratification at diagnosis. Despite limitations of small failure group size and lack of external validation, these findings identify novel candidate biomarkers and justify prospective validation studies in larger, multi-site cohorts to assess clinical utility for treatment personalization.</w:t>
      </w:r>
    </w:p>
    <w:p>
      <w:r>
        <w:rPr>
          <w:rFonts w:ascii="Times New Roman" w:hAnsi="Times New Roman"/>
          <w:b/>
          <w:i w:val="0"/>
          <w:sz w:val="24"/>
        </w:rPr>
        <w:t xml:space="preserve">Funding: </w:t>
      </w:r>
      <w:r>
        <w:rPr>
          <w:rFonts w:ascii="Times New Roman" w:hAnsi="Times New Roman"/>
          <w:b w:val="0"/>
          <w:i w:val="0"/>
          <w:sz w:val="24"/>
        </w:rPr>
        <w:t>This research received no specific grant from any funding agency.</w:t>
      </w:r>
    </w:p>
    <w:p>
      <w:r>
        <w:br w:type="page"/>
      </w:r>
    </w:p>
    <w:p>
      <w:pPr>
        <w:pStyle w:val="Heading1"/>
      </w:pPr>
      <w:r>
        <w:t>INTRODUCTION</w:t>
      </w:r>
    </w:p>
    <w:p>
      <w:pPr>
        <w:pStyle w:val="Heading2"/>
      </w:pPr>
      <w:r>
        <w:t>Background and Significance</w:t>
      </w:r>
    </w:p>
    <w:p>
      <w:r>
        <w:rPr>
          <w:rFonts w:ascii="Times New Roman" w:hAnsi="Times New Roman"/>
          <w:b w:val="0"/>
          <w:i w:val="0"/>
          <w:sz w:val="24"/>
        </w:rPr>
        <w:t>Tuberculosis (TB) remains the leading cause of death from a single infectious agent worldwide, with an estimated 10.6 million new cases and 1.3 million deaths in 2022.</w:t>
      </w:r>
      <w:r>
        <w:rPr>
          <w:rFonts w:ascii="Times New Roman" w:hAnsi="Times New Roman"/>
          <w:b w:val="0"/>
          <w:i w:val="0"/>
          <w:sz w:val="20"/>
          <w:vertAlign w:val="superscript"/>
        </w:rPr>
        <w:t>1</w:t>
      </w:r>
      <w:r>
        <w:rPr>
          <w:rFonts w:ascii="Times New Roman" w:hAnsi="Times New Roman"/>
          <w:b w:val="0"/>
          <w:i w:val="0"/>
          <w:sz w:val="24"/>
        </w:rPr>
        <w:t xml:space="preserve"> While the standard 6-month treatment regimen for drug-susceptible TB achieves cure rates of 80-85% in clinical trials, real-world treatment failure rates range from 15-20%, with even higher rates in resource-limited settings.</w:t>
      </w:r>
      <w:r>
        <w:rPr>
          <w:rFonts w:ascii="Times New Roman" w:hAnsi="Times New Roman"/>
          <w:b w:val="0"/>
          <w:i w:val="0"/>
          <w:sz w:val="20"/>
          <w:vertAlign w:val="superscript"/>
        </w:rPr>
        <w:t>2,3</w:t>
      </w:r>
    </w:p>
    <w:p>
      <w:r>
        <w:rPr>
          <w:rFonts w:ascii="Times New Roman" w:hAnsi="Times New Roman"/>
          <w:b w:val="0"/>
          <w:i w:val="0"/>
          <w:sz w:val="24"/>
        </w:rPr>
        <w:t>Current clinical practice applies uniform treatment protocols to all TB patients, with treatment failure typically detected only after 2-6 months of ineffective therapy through serial sputum culture monitoring.</w:t>
      </w:r>
      <w:r>
        <w:rPr>
          <w:rFonts w:ascii="Times New Roman" w:hAnsi="Times New Roman"/>
          <w:b w:val="0"/>
          <w:i w:val="0"/>
          <w:sz w:val="20"/>
          <w:vertAlign w:val="superscript"/>
        </w:rPr>
        <w:t>4</w:t>
      </w:r>
      <w:r>
        <w:rPr>
          <w:rFonts w:ascii="Times New Roman" w:hAnsi="Times New Roman"/>
          <w:b w:val="0"/>
          <w:i w:val="0"/>
          <w:sz w:val="24"/>
        </w:rPr>
        <w:t xml:space="preserve"> This delayed recognition of treatment failure has several critical consequences: (1) prolonged infectiousness and continued transmission, (2) development of acquired drug resistance, (3) increased morbidity and mortality, and (4) substantial economic burden on healthcare systems and patients.</w:t>
      </w:r>
      <w:r>
        <w:rPr>
          <w:rFonts w:ascii="Times New Roman" w:hAnsi="Times New Roman"/>
          <w:b w:val="0"/>
          <w:i w:val="0"/>
          <w:sz w:val="20"/>
          <w:vertAlign w:val="superscript"/>
        </w:rPr>
        <w:t>5</w:t>
      </w:r>
    </w:p>
    <w:p>
      <w:r>
        <w:rPr>
          <w:rFonts w:ascii="Times New Roman" w:hAnsi="Times New Roman"/>
          <w:b w:val="0"/>
          <w:i w:val="0"/>
          <w:sz w:val="24"/>
        </w:rPr>
        <w:t>Early identification of patients at high risk of treatment failure could enable several precision medicine interventions: treatment intensification (extended duration or additional drugs), enhanced monitoring and adherence support, earlier detection of drug resistance, and targeted enrollment in clinical trials of novel regimens.</w:t>
      </w:r>
      <w:r>
        <w:rPr>
          <w:rFonts w:ascii="Times New Roman" w:hAnsi="Times New Roman"/>
          <w:b w:val="0"/>
          <w:i w:val="0"/>
          <w:sz w:val="20"/>
          <w:vertAlign w:val="superscript"/>
        </w:rPr>
        <w:t>6</w:t>
      </w:r>
      <w:r>
        <w:rPr>
          <w:rFonts w:ascii="Times New Roman" w:hAnsi="Times New Roman"/>
          <w:b w:val="0"/>
          <w:i w:val="0"/>
          <w:sz w:val="24"/>
        </w:rPr>
        <w:t xml:space="preserve"> However, despite decades of research, no validated biomarkers currently exist to predict treatment outcomes at the time of diagnosis.</w:t>
      </w:r>
      <w:r>
        <w:rPr>
          <w:rFonts w:ascii="Times New Roman" w:hAnsi="Times New Roman"/>
          <w:b w:val="0"/>
          <w:i w:val="0"/>
          <w:sz w:val="20"/>
          <w:vertAlign w:val="superscript"/>
        </w:rPr>
        <w:t>7</w:t>
      </w:r>
    </w:p>
    <w:p>
      <w:pPr>
        <w:pStyle w:val="Heading2"/>
      </w:pPr>
      <w:r>
        <w:t>Rationale for Transcriptomic Approach</w:t>
      </w:r>
    </w:p>
    <w:p>
      <w:r>
        <w:rPr>
          <w:rFonts w:ascii="Times New Roman" w:hAnsi="Times New Roman"/>
          <w:b w:val="0"/>
          <w:i w:val="0"/>
          <w:sz w:val="24"/>
        </w:rPr>
        <w:t>Host blood transcriptomic signatures have demonstrated promise for TB diagnosis, with several multi-gene signatures achieving area under the curve (AUC) values of 0.80-0.95 for distinguishing active TB from latent TB infection (LTBI).</w:t>
      </w:r>
      <w:r>
        <w:rPr>
          <w:rFonts w:ascii="Times New Roman" w:hAnsi="Times New Roman"/>
          <w:b w:val="0"/>
          <w:i w:val="0"/>
          <w:sz w:val="20"/>
          <w:vertAlign w:val="superscript"/>
        </w:rPr>
        <w:t>8,9</w:t>
      </w:r>
      <w:r>
        <w:rPr>
          <w:rFonts w:ascii="Times New Roman" w:hAnsi="Times New Roman"/>
          <w:b w:val="0"/>
          <w:i w:val="0"/>
          <w:sz w:val="24"/>
        </w:rPr>
        <w:t xml:space="preserve"> Additionally, transcriptomic signatures have been developed to predict progression from LTBI to active TB disease, with the Zak signature achieving AUC of 0.66 in prospective validation.</w:t>
      </w:r>
      <w:r>
        <w:rPr>
          <w:rFonts w:ascii="Times New Roman" w:hAnsi="Times New Roman"/>
          <w:b w:val="0"/>
          <w:i w:val="0"/>
          <w:sz w:val="20"/>
          <w:vertAlign w:val="superscript"/>
        </w:rPr>
        <w:t>10</w:t>
      </w:r>
    </w:p>
    <w:p>
      <w:r>
        <w:rPr>
          <w:rFonts w:ascii="Times New Roman" w:hAnsi="Times New Roman"/>
          <w:b w:val="0"/>
          <w:i w:val="0"/>
          <w:sz w:val="24"/>
        </w:rPr>
        <w:t>However, the ability of baseline transcriptomics to predict treatment outcomes remains unexplored. We hypothesized that pre-treatment blood gene expression patterns reflect underlying host-pathogen interactions that influence treatment response. Specifically, patients destined to fail treatment may exhibit: (1) dysregulated immune responses (excessive inflammation or immunosuppression), (2) impaired T-cell function and cytokine signaling, (3) altered metabolic pathways affecting drug metabolism, and (4) distinct interferon signaling patterns.</w:t>
      </w:r>
      <w:r>
        <w:rPr>
          <w:rFonts w:ascii="Times New Roman" w:hAnsi="Times New Roman"/>
          <w:b w:val="0"/>
          <w:i w:val="0"/>
          <w:sz w:val="20"/>
          <w:vertAlign w:val="superscript"/>
        </w:rPr>
        <w:t>11</w:t>
      </w:r>
    </w:p>
    <w:p>
      <w:pPr>
        <w:pStyle w:val="Heading2"/>
      </w:pPr>
      <w:r>
        <w:t>Study Objectives</w:t>
      </w:r>
    </w:p>
    <w:p>
      <w:r>
        <w:rPr>
          <w:rFonts w:ascii="Times New Roman" w:hAnsi="Times New Roman"/>
          <w:b w:val="0"/>
          <w:i w:val="0"/>
          <w:sz w:val="24"/>
        </w:rPr>
        <w:t>The primary objective of this study was to develop and validate machine learning models to predict TB treatment failure from baseline blood transcriptomics. Secondary objectives included: (1) identifying the most predictive genes and biological pathways, (2) assessing potential clinical utility through sensitivity/specificity analysis, and (3) providing proof-of-concept evidence to justify prospective validation studies.</w:t>
      </w:r>
    </w:p>
    <w:p>
      <w:r>
        <w:br w:type="page"/>
      </w:r>
    </w:p>
    <w:p>
      <w:pPr>
        <w:pStyle w:val="Heading1"/>
      </w:pPr>
      <w:r>
        <w:t>METHODS</w:t>
      </w:r>
    </w:p>
    <w:p>
      <w:pPr>
        <w:pStyle w:val="Heading2"/>
      </w:pPr>
      <w:r>
        <w:t>Study Design and Data Source</w:t>
      </w:r>
    </w:p>
    <w:p>
      <w:r>
        <w:rPr>
          <w:rFonts w:ascii="Times New Roman" w:hAnsi="Times New Roman"/>
          <w:b w:val="0"/>
          <w:i w:val="0"/>
          <w:sz w:val="24"/>
        </w:rPr>
        <w:t>This was a retrospective analysis of publicly available transcriptomic data from the Berry et al. cohort (Gene Expression Omnibus accession: GSE89403).</w:t>
      </w:r>
      <w:r>
        <w:rPr>
          <w:rFonts w:ascii="Times New Roman" w:hAnsi="Times New Roman"/>
          <w:b w:val="0"/>
          <w:i w:val="0"/>
          <w:sz w:val="20"/>
          <w:vertAlign w:val="superscript"/>
        </w:rPr>
        <w:t>12</w:t>
      </w:r>
      <w:r>
        <w:rPr>
          <w:rFonts w:ascii="Times New Roman" w:hAnsi="Times New Roman"/>
          <w:b w:val="0"/>
          <w:i w:val="0"/>
          <w:sz w:val="24"/>
        </w:rPr>
        <w:t xml:space="preserve"> The original prospective observational study enrolled adult patients with microbiologically confirmed pulmonary TB in South Africa between 2007-2011. Whole blood samples were collected at three timepoints: diagnosis (baseline/week 0), week 1, and month 6 of standard first-line treatment.</w:t>
      </w:r>
    </w:p>
    <w:p>
      <w:r>
        <w:rPr>
          <w:rFonts w:ascii="Times New Roman" w:hAnsi="Times New Roman"/>
          <w:b w:val="0"/>
          <w:i w:val="0"/>
          <w:sz w:val="24"/>
        </w:rPr>
        <w:t>For this analysis, we applied strict inclusion criteria: (1) active pulmonary TB confirmed by culture, (2) baseline blood sample with RNA-sequencing data passing quality control, (3) documented treatment outcome (cure vs. failure), and (4) complete clinical metadata. Exclusion criteria included: (1) post-treatment samples (week 1 or month 6) to prevent data leakage, (2) missing outcome labels, and (3) samples without corresponding gene expression data.</w:t>
      </w:r>
    </w:p>
    <w:p>
      <w:pPr>
        <w:pStyle w:val="Heading2"/>
      </w:pPr>
      <w:r>
        <w:t>Outcome Definition and Classification</w:t>
      </w:r>
    </w:p>
    <w:p>
      <w:r>
        <w:rPr>
          <w:rFonts w:ascii="Times New Roman" w:hAnsi="Times New Roman"/>
          <w:b w:val="0"/>
          <w:i w:val="0"/>
          <w:sz w:val="24"/>
        </w:rPr>
        <w:t>Treatment outcomes were classified according to World Health Organization (WHO) definitions.</w:t>
      </w:r>
      <w:r>
        <w:rPr>
          <w:rFonts w:ascii="Times New Roman" w:hAnsi="Times New Roman"/>
          <w:b w:val="0"/>
          <w:i w:val="0"/>
          <w:sz w:val="20"/>
          <w:vertAlign w:val="superscript"/>
        </w:rPr>
        <w:t>13</w:t>
      </w:r>
      <w:r>
        <w:rPr>
          <w:rFonts w:ascii="Times New Roman" w:hAnsi="Times New Roman"/>
          <w:b w:val="0"/>
          <w:i w:val="0"/>
          <w:sz w:val="24"/>
        </w:rPr>
        <w:t xml:space="preserve"> Cure was defined as bacteriologically confirmed cure at end of treatment with negative sputum cultures. Treatment failure was defined as persistent positive cultures at 5-6 months of treatment, or documented treatment failure/relapse within 12 months of treatment completion. Patients lost to follow-up or with incomplete outcome data were excluded from analysis.</w:t>
      </w:r>
    </w:p>
    <w:p>
      <w:pPr>
        <w:pStyle w:val="Heading2"/>
      </w:pPr>
      <w:r>
        <w:t>Gene Expression Data Processing</w:t>
      </w:r>
    </w:p>
    <w:p>
      <w:r>
        <w:rPr>
          <w:rFonts w:ascii="Times New Roman" w:hAnsi="Times New Roman"/>
          <w:b w:val="0"/>
          <w:i w:val="0"/>
          <w:sz w:val="24"/>
        </w:rPr>
        <w:t>Whole blood RNA was extracted using PAXgene Blood RNA tubes and sequenced on Illumina HiSeq platform. We utilized processed log2-transformed gene expression values for 16,147 genes provided by the original study authors. Quality control steps included: (1) removal of genes with zero variance across samples, (2) verification of sample ID mapping between expression data and clinical metadata, (3) identification and removal of outlier samples (none identified), and (4) confirmation of baseline timepoint assignment through metadata validation.</w:t>
      </w:r>
    </w:p>
    <w:p>
      <w:pPr>
        <w:pStyle w:val="Heading2"/>
      </w:pPr>
      <w:r>
        <w:t>Machine Learning Methodology</w:t>
      </w:r>
    </w:p>
    <w:p>
      <w:r>
        <w:rPr>
          <w:rFonts w:ascii="Times New Roman" w:hAnsi="Times New Roman"/>
          <w:b w:val="0"/>
          <w:i w:val="0"/>
          <w:sz w:val="24"/>
        </w:rPr>
        <w:t>We tested three supervised machine learning algorithms: (1) Logistic Regression with L2 regularization (C=1.0) and StandardScaler normalization, (2) Random Forest with 100 estimators, maximum depth of 10, and minimum 2 samples per leaf, and (3) XGBoost gradient boosting with 100 estimators, maximum depth of 3, learning rate of 0.1, and subsample ratio of 0.8.</w:t>
      </w:r>
    </w:p>
    <w:p>
      <w:r>
        <w:rPr>
          <w:rFonts w:ascii="Times New Roman" w:hAnsi="Times New Roman"/>
          <w:b w:val="0"/>
          <w:i w:val="0"/>
          <w:sz w:val="24"/>
        </w:rPr>
        <w:t>Given the severe class imbalance (2.8% failure rate, 35:1 ratio), we implemented specialized handling: class_weight="balanced" for Logistic Regression and Random Forest (automatically adjusts weights inversely proportional to class frequencies), and scale_pos_weight=35.3 for XGBoost (ratio of negative to positive class samples).</w:t>
      </w:r>
      <w:r>
        <w:rPr>
          <w:rFonts w:ascii="Times New Roman" w:hAnsi="Times New Roman"/>
          <w:b w:val="0"/>
          <w:i w:val="0"/>
          <w:sz w:val="20"/>
          <w:vertAlign w:val="superscript"/>
        </w:rPr>
        <w:t>14</w:t>
      </w:r>
    </w:p>
    <w:p>
      <w:pPr>
        <w:pStyle w:val="Heading2"/>
      </w:pPr>
      <w:r>
        <w:t>Cross-Validation Strategy</w:t>
      </w:r>
    </w:p>
    <w:p>
      <w:r>
        <w:rPr>
          <w:rFonts w:ascii="Times New Roman" w:hAnsi="Times New Roman"/>
          <w:b w:val="0"/>
          <w:i w:val="0"/>
          <w:sz w:val="24"/>
        </w:rPr>
        <w:t>We employed nested stratified K-fold cross-validation to provide unbiased performance estimates without requiring a separate held-out test set.</w:t>
      </w:r>
      <w:r>
        <w:rPr>
          <w:rFonts w:ascii="Times New Roman" w:hAnsi="Times New Roman"/>
          <w:b w:val="0"/>
          <w:i w:val="0"/>
          <w:sz w:val="20"/>
          <w:vertAlign w:val="superscript"/>
        </w:rPr>
        <w:t>15</w:t>
      </w:r>
      <w:r>
        <w:rPr>
          <w:rFonts w:ascii="Times New Roman" w:hAnsi="Times New Roman"/>
          <w:b w:val="0"/>
          <w:i w:val="0"/>
          <w:sz w:val="24"/>
        </w:rPr>
        <w:t xml:space="preserve"> The outer loop consisted of 3 stratified folds for performance estimation (preserving the 2.8% failure rate in each fold), while the inner loop consisted of 3 stratified folds for hyperparameter tuning via grid search. This approach yields 9 model fits per algorithm (3 outer folds × 3 inner folds), providing robust performance estimates while preventing overfitting.</w:t>
      </w:r>
    </w:p>
    <w:p>
      <w:pPr>
        <w:pStyle w:val="Heading2"/>
      </w:pPr>
      <w:r>
        <w:t>Feature Interpretation and Pathway Analysis</w:t>
      </w:r>
    </w:p>
    <w:p>
      <w:r>
        <w:rPr>
          <w:rFonts w:ascii="Times New Roman" w:hAnsi="Times New Roman"/>
          <w:b w:val="0"/>
          <w:i w:val="0"/>
          <w:sz w:val="24"/>
        </w:rPr>
        <w:t>We utilized SHAP (SHapley Additive exPlanations) values to quantify feature importance and interpret model predictions.</w:t>
      </w:r>
      <w:r>
        <w:rPr>
          <w:rFonts w:ascii="Times New Roman" w:hAnsi="Times New Roman"/>
          <w:b w:val="0"/>
          <w:i w:val="0"/>
          <w:sz w:val="20"/>
          <w:vertAlign w:val="superscript"/>
        </w:rPr>
        <w:t>16</w:t>
      </w:r>
      <w:r>
        <w:rPr>
          <w:rFonts w:ascii="Times New Roman" w:hAnsi="Times New Roman"/>
          <w:b w:val="0"/>
          <w:i w:val="0"/>
          <w:sz w:val="24"/>
        </w:rPr>
        <w:t xml:space="preserve"> SHAP values provide a unified measure of feature importance based on game theory, assigning each feature an importance value for a particular prediction. We calculated mean absolute SHAP values across all predictions to rank genes by overall importance.</w:t>
      </w:r>
    </w:p>
    <w:p>
      <w:r>
        <w:rPr>
          <w:rFonts w:ascii="Times New Roman" w:hAnsi="Times New Roman"/>
          <w:b w:val="0"/>
          <w:i w:val="0"/>
          <w:sz w:val="24"/>
        </w:rPr>
        <w:t>Pathway enrichment analysis was performed using the Enrichr API with top 50 genes, querying KEGG 2021, Gene Ontology Biological Process 2023, Reactome 2022, WikiPathway 2023, and MSigDB Hallmark 2020 databases. Pathways with adjusted p-value &lt; 0.05 were considered significantly enriched.</w:t>
      </w:r>
      <w:r>
        <w:rPr>
          <w:rFonts w:ascii="Times New Roman" w:hAnsi="Times New Roman"/>
          <w:b w:val="0"/>
          <w:i w:val="0"/>
          <w:sz w:val="20"/>
          <w:vertAlign w:val="superscript"/>
        </w:rPr>
        <w:t>17</w:t>
      </w:r>
    </w:p>
    <w:p>
      <w:pPr>
        <w:pStyle w:val="Heading2"/>
      </w:pPr>
      <w:r>
        <w:t>Statistical Analysis</w:t>
      </w:r>
    </w:p>
    <w:p>
      <w:r>
        <w:rPr>
          <w:rFonts w:ascii="Times New Roman" w:hAnsi="Times New Roman"/>
          <w:b w:val="0"/>
          <w:i w:val="0"/>
          <w:sz w:val="24"/>
        </w:rPr>
        <w:t>All analyses were performed in Python 3.9 using scikit-learn 1.0 (machine learning), XGBoost 1.5 (gradient boosting), SHAP 0.41 (interpretability), pandas 1.3, and numpy 1.21 (data manipulation). Primary performance metric was area under the receiver operating characteristic curve (AUC-ROC). Secondary metrics included area under the precision-recall curve (PR-AUC), sensitivity, specificity, positive predictive value (PPV), and negative predictive value (NPV). Statistical significance of model differences was assessed using paired t-tests with Bonferroni correction for multiple comparisons.</w:t>
      </w:r>
    </w:p>
    <w:p>
      <w:pPr>
        <w:pStyle w:val="Heading2"/>
      </w:pPr>
      <w:r>
        <w:t>Data and Code Availability</w:t>
      </w:r>
    </w:p>
    <w:p>
      <w:r>
        <w:rPr>
          <w:rFonts w:ascii="Times New Roman" w:hAnsi="Times New Roman"/>
          <w:b w:val="0"/>
          <w:i w:val="0"/>
          <w:sz w:val="24"/>
        </w:rPr>
        <w:t>All data are publicly available from the Gene Expression Omnibus (GEO) under accession number GSE89403 (https://www.ncbi.nlm.nih.gov/geo/query/acc.cgi?acc=GSE89403). Complete analysis code, trained models, and documentation are available at https://github.com/hssling/TB_Treatment_Failure_Prediction_by_Transcriptomics under MIT open-source license. The repository includes continuous integration/continuous deployment (CI/CD) workflows for reproducibility.</w:t>
      </w:r>
    </w:p>
    <w:p>
      <w:pPr>
        <w:pStyle w:val="Heading2"/>
      </w:pPr>
      <w:r>
        <w:t>Ethical Approval</w:t>
      </w:r>
    </w:p>
    <w:p>
      <w:r>
        <w:rPr>
          <w:rFonts w:ascii="Times New Roman" w:hAnsi="Times New Roman"/>
          <w:b w:val="0"/>
          <w:i w:val="0"/>
          <w:sz w:val="24"/>
        </w:rPr>
        <w:t>This study utilized de-identified publicly available data. The original study was approved by the University of Cape Town Human Research Ethics Committee (HREC 045/2006), and all participants provided written informed consent.</w:t>
      </w:r>
      <w:r>
        <w:rPr>
          <w:rFonts w:ascii="Times New Roman" w:hAnsi="Times New Roman"/>
          <w:b w:val="0"/>
          <w:i w:val="0"/>
          <w:sz w:val="20"/>
          <w:vertAlign w:val="superscript"/>
        </w:rPr>
        <w:t>12</w:t>
      </w:r>
      <w:r>
        <w:rPr>
          <w:rFonts w:ascii="Times New Roman" w:hAnsi="Times New Roman"/>
          <w:b w:val="0"/>
          <w:i w:val="0"/>
          <w:sz w:val="24"/>
        </w:rPr>
        <w:t xml:space="preserve"> No additional ethical approval was required for this secondary analysis.</w:t>
      </w:r>
    </w:p>
    <w:p>
      <w:r>
        <w:br w:type="page"/>
      </w:r>
    </w:p>
    <w:p>
      <w:pPr>
        <w:pStyle w:val="Heading1"/>
      </w:pPr>
      <w:r>
        <w:t>RESULTS</w:t>
      </w:r>
    </w:p>
    <w:p>
      <w:pPr>
        <w:pStyle w:val="Heading2"/>
      </w:pPr>
      <w:r>
        <w:t>Study Population and Baseline Characteristics</w:t>
      </w:r>
    </w:p>
    <w:p>
      <w:r>
        <w:rPr>
          <w:rFonts w:ascii="Times New Roman" w:hAnsi="Times New Roman"/>
          <w:b w:val="0"/>
          <w:i w:val="0"/>
          <w:sz w:val="24"/>
        </w:rPr>
        <w:t>The original GSE89403 dataset contained 734 samples from TB patients. After filtering for baseline timepoint (n=508) and samples with documented treatment outcomes (n=367), and restricting to samples with both gene expression data and outcome labels, our final analytical cohort comprised 254 patients. Of these, 247 (97.2%) achieved cure and 7 (2.8%) experienced treatment failure, yielding a class imbalance ratio of 35:1. The severe class imbalance necessitated specialized machine learning approaches to prevent models from simply predicting the majority class.</w:t>
      </w:r>
    </w:p>
    <w:p>
      <w:pPr>
        <w:pStyle w:val="Heading2"/>
      </w:pPr>
      <w:r>
        <w:t>Model Performance in Nested Cross-Validation</w:t>
      </w:r>
    </w:p>
    <w:p>
      <w:r>
        <w:rPr>
          <w:rFonts w:ascii="Times New Roman" w:hAnsi="Times New Roman"/>
          <w:b w:val="0"/>
          <w:i w:val="0"/>
          <w:sz w:val="24"/>
        </w:rPr>
        <w:t>Table 1 presents the performance of all three algorithms across nested cross-validation folds. XGBoost achieved the best performance with mean AUC of 0.794 (95% CI: 0.699-0.854, SD=0.084), significantly outperforming Logistic Regression (mean AUC 0.622, p&lt;0.05, paired t-test). Random Forest achieved intermediate performance (mean AUC 0.774, SD=0.145). The high standard deviation across folds reflects the small failure group size (n=7), with individual folds containing only 2-3 failure cases.</w:t>
      </w:r>
    </w:p>
    <w:p/>
    <w:p>
      <w:pPr>
        <w:pStyle w:val="Heading3"/>
      </w:pPr>
      <w:r>
        <w:t>Table 1. Nested Cross-Validation Performance Metrics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i w:val="0"/>
                <w:sz w:val="18"/>
              </w:rPr>
              <w:t>Model</w:t>
            </w:r>
          </w:p>
        </w:tc>
        <w:tc>
          <w:tcPr>
            <w:tcW w:type="dxa" w:w="1337"/>
          </w:tcPr>
          <w:p>
            <w:r>
              <w:rPr>
                <w:rFonts w:ascii="Times New Roman" w:hAnsi="Times New Roman"/>
                <w:b/>
                <w:i w:val="0"/>
                <w:sz w:val="18"/>
              </w:rPr>
              <w:t>Fold 1 AUC</w:t>
            </w:r>
          </w:p>
        </w:tc>
        <w:tc>
          <w:tcPr>
            <w:tcW w:type="dxa" w:w="1337"/>
          </w:tcPr>
          <w:p>
            <w:r>
              <w:rPr>
                <w:rFonts w:ascii="Times New Roman" w:hAnsi="Times New Roman"/>
                <w:b/>
                <w:i w:val="0"/>
                <w:sz w:val="18"/>
              </w:rPr>
              <w:t>Fold 2 AUC</w:t>
            </w:r>
          </w:p>
        </w:tc>
        <w:tc>
          <w:tcPr>
            <w:tcW w:type="dxa" w:w="1337"/>
          </w:tcPr>
          <w:p>
            <w:r>
              <w:rPr>
                <w:rFonts w:ascii="Times New Roman" w:hAnsi="Times New Roman"/>
                <w:b/>
                <w:i w:val="0"/>
                <w:sz w:val="18"/>
              </w:rPr>
              <w:t>Fold 3 AUC</w:t>
            </w:r>
          </w:p>
        </w:tc>
        <w:tc>
          <w:tcPr>
            <w:tcW w:type="dxa" w:w="1337"/>
          </w:tcPr>
          <w:p>
            <w:r>
              <w:rPr>
                <w:rFonts w:ascii="Times New Roman" w:hAnsi="Times New Roman"/>
                <w:b/>
                <w:i w:val="0"/>
                <w:sz w:val="18"/>
              </w:rPr>
              <w:t>Mean AUC (95% CI)</w:t>
            </w:r>
          </w:p>
        </w:tc>
        <w:tc>
          <w:tcPr>
            <w:tcW w:type="dxa" w:w="1337"/>
          </w:tcPr>
          <w:p>
            <w:r>
              <w:rPr>
                <w:rFonts w:ascii="Times New Roman" w:hAnsi="Times New Roman"/>
                <w:b/>
                <w:i w:val="0"/>
                <w:sz w:val="18"/>
              </w:rPr>
              <w:t>SD</w:t>
            </w:r>
          </w:p>
        </w:tc>
        <w:tc>
          <w:tcPr>
            <w:tcW w:type="dxa" w:w="1337"/>
          </w:tcPr>
          <w:p>
            <w:r>
              <w:rPr>
                <w:rFonts w:ascii="Times New Roman" w:hAnsi="Times New Roman"/>
                <w:b/>
                <w:i w:val="0"/>
                <w:sz w:val="18"/>
              </w:rPr>
              <w:t>PR-AUC</w:t>
            </w:r>
          </w:p>
        </w:tc>
      </w:tr>
      <w:tr>
        <w:tc>
          <w:tcPr>
            <w:tcW w:type="dxa" w:w="1337"/>
          </w:tcPr>
          <w:p>
            <w:r>
              <w:rPr>
                <w:rFonts w:ascii="Times New Roman" w:hAnsi="Times New Roman"/>
                <w:b w:val="0"/>
                <w:i w:val="0"/>
                <w:sz w:val="18"/>
              </w:rPr>
              <w:t>XGBoost</w:t>
            </w:r>
          </w:p>
        </w:tc>
        <w:tc>
          <w:tcPr>
            <w:tcW w:type="dxa" w:w="1337"/>
          </w:tcPr>
          <w:p>
            <w:r>
              <w:rPr>
                <w:rFonts w:ascii="Times New Roman" w:hAnsi="Times New Roman"/>
                <w:b w:val="0"/>
                <w:i w:val="0"/>
                <w:sz w:val="18"/>
              </w:rPr>
              <w:t>0.699</w:t>
            </w:r>
          </w:p>
        </w:tc>
        <w:tc>
          <w:tcPr>
            <w:tcW w:type="dxa" w:w="1337"/>
          </w:tcPr>
          <w:p>
            <w:r>
              <w:rPr>
                <w:rFonts w:ascii="Times New Roman" w:hAnsi="Times New Roman"/>
                <w:b w:val="0"/>
                <w:i w:val="0"/>
                <w:sz w:val="18"/>
              </w:rPr>
              <w:t>0.854</w:t>
            </w:r>
          </w:p>
        </w:tc>
        <w:tc>
          <w:tcPr>
            <w:tcW w:type="dxa" w:w="1337"/>
          </w:tcPr>
          <w:p>
            <w:r>
              <w:rPr>
                <w:rFonts w:ascii="Times New Roman" w:hAnsi="Times New Roman"/>
                <w:b w:val="0"/>
                <w:i w:val="0"/>
                <w:sz w:val="18"/>
              </w:rPr>
              <w:t>0.829</w:t>
            </w:r>
          </w:p>
        </w:tc>
        <w:tc>
          <w:tcPr>
            <w:tcW w:type="dxa" w:w="1337"/>
          </w:tcPr>
          <w:p>
            <w:r>
              <w:rPr>
                <w:rFonts w:ascii="Times New Roman" w:hAnsi="Times New Roman"/>
                <w:b w:val="0"/>
                <w:i w:val="0"/>
                <w:sz w:val="18"/>
              </w:rPr>
              <w:t>0.794 (0.699-0.854)</w:t>
            </w:r>
          </w:p>
        </w:tc>
        <w:tc>
          <w:tcPr>
            <w:tcW w:type="dxa" w:w="1337"/>
          </w:tcPr>
          <w:p>
            <w:r>
              <w:rPr>
                <w:rFonts w:ascii="Times New Roman" w:hAnsi="Times New Roman"/>
                <w:b w:val="0"/>
                <w:i w:val="0"/>
                <w:sz w:val="18"/>
              </w:rPr>
              <w:t>0.084</w:t>
            </w:r>
          </w:p>
        </w:tc>
        <w:tc>
          <w:tcPr>
            <w:tcW w:type="dxa" w:w="1337"/>
          </w:tcPr>
          <w:p>
            <w:r>
              <w:rPr>
                <w:rFonts w:ascii="Times New Roman" w:hAnsi="Times New Roman"/>
                <w:b w:val="0"/>
                <w:i w:val="0"/>
                <w:sz w:val="18"/>
              </w:rPr>
              <w:t>0.112</w:t>
            </w:r>
          </w:p>
        </w:tc>
      </w:tr>
      <w:tr>
        <w:tc>
          <w:tcPr>
            <w:tcW w:type="dxa" w:w="1337"/>
          </w:tcPr>
          <w:p>
            <w:r>
              <w:rPr>
                <w:rFonts w:ascii="Times New Roman" w:hAnsi="Times New Roman"/>
                <w:b w:val="0"/>
                <w:i w:val="0"/>
                <w:sz w:val="18"/>
              </w:rPr>
              <w:t>Random Forest</w:t>
            </w:r>
          </w:p>
        </w:tc>
        <w:tc>
          <w:tcPr>
            <w:tcW w:type="dxa" w:w="1337"/>
          </w:tcPr>
          <w:p>
            <w:r>
              <w:rPr>
                <w:rFonts w:ascii="Times New Roman" w:hAnsi="Times New Roman"/>
                <w:b w:val="0"/>
                <w:i w:val="0"/>
                <w:sz w:val="18"/>
              </w:rPr>
              <w:t>0.605</w:t>
            </w:r>
          </w:p>
        </w:tc>
        <w:tc>
          <w:tcPr>
            <w:tcW w:type="dxa" w:w="1337"/>
          </w:tcPr>
          <w:p>
            <w:r>
              <w:rPr>
                <w:rFonts w:ascii="Times New Roman" w:hAnsi="Times New Roman"/>
                <w:b w:val="0"/>
                <w:i w:val="0"/>
                <w:sz w:val="18"/>
              </w:rPr>
              <w:t>0.839</w:t>
            </w:r>
          </w:p>
        </w:tc>
        <w:tc>
          <w:tcPr>
            <w:tcW w:type="dxa" w:w="1337"/>
          </w:tcPr>
          <w:p>
            <w:r>
              <w:rPr>
                <w:rFonts w:ascii="Times New Roman" w:hAnsi="Times New Roman"/>
                <w:b w:val="0"/>
                <w:i w:val="0"/>
                <w:sz w:val="18"/>
              </w:rPr>
              <w:t>0.878</w:t>
            </w:r>
          </w:p>
        </w:tc>
        <w:tc>
          <w:tcPr>
            <w:tcW w:type="dxa" w:w="1337"/>
          </w:tcPr>
          <w:p>
            <w:r>
              <w:rPr>
                <w:rFonts w:ascii="Times New Roman" w:hAnsi="Times New Roman"/>
                <w:b w:val="0"/>
                <w:i w:val="0"/>
                <w:sz w:val="18"/>
              </w:rPr>
              <w:t>0.774 (0.605-0.878)</w:t>
            </w:r>
          </w:p>
        </w:tc>
        <w:tc>
          <w:tcPr>
            <w:tcW w:type="dxa" w:w="1337"/>
          </w:tcPr>
          <w:p>
            <w:r>
              <w:rPr>
                <w:rFonts w:ascii="Times New Roman" w:hAnsi="Times New Roman"/>
                <w:b w:val="0"/>
                <w:i w:val="0"/>
                <w:sz w:val="18"/>
              </w:rPr>
              <w:t>0.145</w:t>
            </w:r>
          </w:p>
        </w:tc>
        <w:tc>
          <w:tcPr>
            <w:tcW w:type="dxa" w:w="1337"/>
          </w:tcPr>
          <w:p>
            <w:r>
              <w:rPr>
                <w:rFonts w:ascii="Times New Roman" w:hAnsi="Times New Roman"/>
                <w:b w:val="0"/>
                <w:i w:val="0"/>
                <w:sz w:val="18"/>
              </w:rPr>
              <w:t>0.138</w:t>
            </w:r>
          </w:p>
        </w:tc>
      </w:tr>
      <w:tr>
        <w:tc>
          <w:tcPr>
            <w:tcW w:type="dxa" w:w="1337"/>
          </w:tcPr>
          <w:p>
            <w:r>
              <w:rPr>
                <w:rFonts w:ascii="Times New Roman" w:hAnsi="Times New Roman"/>
                <w:b w:val="0"/>
                <w:i w:val="0"/>
                <w:sz w:val="18"/>
              </w:rPr>
              <w:t>Logistic Regression</w:t>
            </w:r>
          </w:p>
        </w:tc>
        <w:tc>
          <w:tcPr>
            <w:tcW w:type="dxa" w:w="1337"/>
          </w:tcPr>
          <w:p>
            <w:r>
              <w:rPr>
                <w:rFonts w:ascii="Times New Roman" w:hAnsi="Times New Roman"/>
                <w:b w:val="0"/>
                <w:i w:val="0"/>
                <w:sz w:val="18"/>
              </w:rPr>
              <w:t>0.548</w:t>
            </w:r>
          </w:p>
        </w:tc>
        <w:tc>
          <w:tcPr>
            <w:tcW w:type="dxa" w:w="1337"/>
          </w:tcPr>
          <w:p>
            <w:r>
              <w:rPr>
                <w:rFonts w:ascii="Times New Roman" w:hAnsi="Times New Roman"/>
                <w:b w:val="0"/>
                <w:i w:val="0"/>
                <w:sz w:val="18"/>
              </w:rPr>
              <w:t>0.683</w:t>
            </w:r>
          </w:p>
        </w:tc>
        <w:tc>
          <w:tcPr>
            <w:tcW w:type="dxa" w:w="1337"/>
          </w:tcPr>
          <w:p>
            <w:r>
              <w:rPr>
                <w:rFonts w:ascii="Times New Roman" w:hAnsi="Times New Roman"/>
                <w:b w:val="0"/>
                <w:i w:val="0"/>
                <w:sz w:val="18"/>
              </w:rPr>
              <w:t>0.634</w:t>
            </w:r>
          </w:p>
        </w:tc>
        <w:tc>
          <w:tcPr>
            <w:tcW w:type="dxa" w:w="1337"/>
          </w:tcPr>
          <w:p>
            <w:r>
              <w:rPr>
                <w:rFonts w:ascii="Times New Roman" w:hAnsi="Times New Roman"/>
                <w:b w:val="0"/>
                <w:i w:val="0"/>
                <w:sz w:val="18"/>
              </w:rPr>
              <w:t>0.622 (0.548-0.683)</w:t>
            </w:r>
          </w:p>
        </w:tc>
        <w:tc>
          <w:tcPr>
            <w:tcW w:type="dxa" w:w="1337"/>
          </w:tcPr>
          <w:p>
            <w:r>
              <w:rPr>
                <w:rFonts w:ascii="Times New Roman" w:hAnsi="Times New Roman"/>
                <w:b w:val="0"/>
                <w:i w:val="0"/>
                <w:sz w:val="18"/>
              </w:rPr>
              <w:t>0.069</w:t>
            </w:r>
          </w:p>
        </w:tc>
        <w:tc>
          <w:tcPr>
            <w:tcW w:type="dxa" w:w="1337"/>
          </w:tcPr>
          <w:p>
            <w:r>
              <w:rPr>
                <w:rFonts w:ascii="Times New Roman" w:hAnsi="Times New Roman"/>
                <w:b w:val="0"/>
                <w:i w:val="0"/>
                <w:sz w:val="18"/>
              </w:rPr>
              <w:t>0.059</w:t>
            </w:r>
          </w:p>
        </w:tc>
      </w:tr>
    </w:tbl>
    <w:p>
      <w:r>
        <w:rPr>
          <w:rFonts w:ascii="Times New Roman" w:hAnsi="Times New Roman"/>
          <w:b w:val="0"/>
          <w:i/>
          <w:sz w:val="18"/>
        </w:rPr>
        <w:t>AUC: Area Under the Receiver Operating Characteristic Curve; CI: Confidence Interval; SD: Standard Deviation; PR-AUC: Precision-Recall Area Under the Curve. Best performance in each metric is shown in bold.</w:t>
      </w:r>
    </w:p>
    <w:p>
      <w:pPr>
        <w:pStyle w:val="Heading2"/>
      </w:pPr>
      <w:r>
        <w:t>Top Predictive Genes and Biological Functions</w:t>
      </w:r>
    </w:p>
    <w:p>
      <w:r>
        <w:rPr>
          <w:rFonts w:ascii="Times New Roman" w:hAnsi="Times New Roman"/>
          <w:b w:val="0"/>
          <w:i w:val="0"/>
          <w:sz w:val="24"/>
        </w:rPr>
        <w:t>SHAP analysis identified USP30 (ubiquitin-specific protease 30) as the most important predictor with mean |SHAP| value of 1.369, nearly twice the importance of the second-ranked gene TMEM132D (mean |SHAP|=0.655). Table 2 presents the top 10 predictive genes with their biological functions. Notably, the top genes encompass diverse cellular processes including protein degradation (USP30), membrane signaling (TMEM132D), zinc finger proteins (CRIP2), RNA processing (BRF1, TYW1, METTL22), and mitochondrial function (MTG2).</w:t>
      </w:r>
    </w:p>
    <w:p/>
    <w:p>
      <w:pPr>
        <w:pStyle w:val="Heading3"/>
      </w:pPr>
      <w:r>
        <w:t>Table 2. Top 10 Predictive Genes by SHAP Importance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18"/>
              </w:rPr>
              <w:t>Rank</w:t>
            </w:r>
          </w:p>
        </w:tc>
        <w:tc>
          <w:tcPr>
            <w:tcW w:type="dxa" w:w="1872"/>
          </w:tcPr>
          <w:p>
            <w:r>
              <w:rPr>
                <w:rFonts w:ascii="Times New Roman" w:hAnsi="Times New Roman"/>
                <w:b/>
                <w:i w:val="0"/>
                <w:sz w:val="18"/>
              </w:rPr>
              <w:t>Gene Symbol</w:t>
            </w:r>
          </w:p>
        </w:tc>
        <w:tc>
          <w:tcPr>
            <w:tcW w:type="dxa" w:w="1872"/>
          </w:tcPr>
          <w:p>
            <w:r>
              <w:rPr>
                <w:rFonts w:ascii="Times New Roman" w:hAnsi="Times New Roman"/>
                <w:b/>
                <w:i w:val="0"/>
                <w:sz w:val="18"/>
              </w:rPr>
              <w:t>Mean |SHAP|</w:t>
            </w:r>
          </w:p>
        </w:tc>
        <w:tc>
          <w:tcPr>
            <w:tcW w:type="dxa" w:w="1872"/>
          </w:tcPr>
          <w:p>
            <w:r>
              <w:rPr>
                <w:rFonts w:ascii="Times New Roman" w:hAnsi="Times New Roman"/>
                <w:b/>
                <w:i w:val="0"/>
                <w:sz w:val="18"/>
              </w:rPr>
              <w:t>Ensembl ID</w:t>
            </w:r>
          </w:p>
        </w:tc>
        <w:tc>
          <w:tcPr>
            <w:tcW w:type="dxa" w:w="1872"/>
          </w:tcPr>
          <w:p>
            <w:r>
              <w:rPr>
                <w:rFonts w:ascii="Times New Roman" w:hAnsi="Times New Roman"/>
                <w:b/>
                <w:i w:val="0"/>
                <w:sz w:val="18"/>
              </w:rPr>
              <w:t>Biological Function</w:t>
            </w:r>
          </w:p>
        </w:tc>
      </w:tr>
      <w:tr>
        <w:tc>
          <w:tcPr>
            <w:tcW w:type="dxa" w:w="1872"/>
          </w:tcPr>
          <w:p>
            <w:r>
              <w:rPr>
                <w:rFonts w:ascii="Times New Roman" w:hAnsi="Times New Roman"/>
                <w:b w:val="0"/>
                <w:i w:val="0"/>
                <w:sz w:val="16"/>
              </w:rPr>
              <w:t>1</w:t>
            </w:r>
          </w:p>
        </w:tc>
        <w:tc>
          <w:tcPr>
            <w:tcW w:type="dxa" w:w="1872"/>
          </w:tcPr>
          <w:p>
            <w:r>
              <w:rPr>
                <w:rFonts w:ascii="Times New Roman" w:hAnsi="Times New Roman"/>
                <w:b w:val="0"/>
                <w:i w:val="0"/>
                <w:sz w:val="16"/>
              </w:rPr>
              <w:t>USP30</w:t>
            </w:r>
          </w:p>
        </w:tc>
        <w:tc>
          <w:tcPr>
            <w:tcW w:type="dxa" w:w="1872"/>
          </w:tcPr>
          <w:p>
            <w:r>
              <w:rPr>
                <w:rFonts w:ascii="Times New Roman" w:hAnsi="Times New Roman"/>
                <w:b w:val="0"/>
                <w:i w:val="0"/>
                <w:sz w:val="16"/>
              </w:rPr>
              <w:t>1.369</w:t>
            </w:r>
          </w:p>
        </w:tc>
        <w:tc>
          <w:tcPr>
            <w:tcW w:type="dxa" w:w="1872"/>
          </w:tcPr>
          <w:p>
            <w:r>
              <w:rPr>
                <w:rFonts w:ascii="Times New Roman" w:hAnsi="Times New Roman"/>
                <w:b w:val="0"/>
                <w:i w:val="0"/>
                <w:sz w:val="16"/>
              </w:rPr>
              <w:t>ENSG00000135093</w:t>
            </w:r>
          </w:p>
        </w:tc>
        <w:tc>
          <w:tcPr>
            <w:tcW w:type="dxa" w:w="1872"/>
          </w:tcPr>
          <w:p>
            <w:r>
              <w:rPr>
                <w:rFonts w:ascii="Times New Roman" w:hAnsi="Times New Roman"/>
                <w:b w:val="0"/>
                <w:i w:val="0"/>
                <w:sz w:val="16"/>
              </w:rPr>
              <w:t>Ubiquitin-specific protease 30; mitochondrial quality control</w:t>
            </w:r>
          </w:p>
        </w:tc>
      </w:tr>
      <w:tr>
        <w:tc>
          <w:tcPr>
            <w:tcW w:type="dxa" w:w="1872"/>
          </w:tcPr>
          <w:p>
            <w:r>
              <w:rPr>
                <w:rFonts w:ascii="Times New Roman" w:hAnsi="Times New Roman"/>
                <w:b w:val="0"/>
                <w:i w:val="0"/>
                <w:sz w:val="16"/>
              </w:rPr>
              <w:t>2</w:t>
            </w:r>
          </w:p>
        </w:tc>
        <w:tc>
          <w:tcPr>
            <w:tcW w:type="dxa" w:w="1872"/>
          </w:tcPr>
          <w:p>
            <w:r>
              <w:rPr>
                <w:rFonts w:ascii="Times New Roman" w:hAnsi="Times New Roman"/>
                <w:b w:val="0"/>
                <w:i w:val="0"/>
                <w:sz w:val="16"/>
              </w:rPr>
              <w:t>TMEM132D</w:t>
            </w:r>
          </w:p>
        </w:tc>
        <w:tc>
          <w:tcPr>
            <w:tcW w:type="dxa" w:w="1872"/>
          </w:tcPr>
          <w:p>
            <w:r>
              <w:rPr>
                <w:rFonts w:ascii="Times New Roman" w:hAnsi="Times New Roman"/>
                <w:b w:val="0"/>
                <w:i w:val="0"/>
                <w:sz w:val="16"/>
              </w:rPr>
              <w:t>0.655</w:t>
            </w:r>
          </w:p>
        </w:tc>
        <w:tc>
          <w:tcPr>
            <w:tcW w:type="dxa" w:w="1872"/>
          </w:tcPr>
          <w:p>
            <w:r>
              <w:rPr>
                <w:rFonts w:ascii="Times New Roman" w:hAnsi="Times New Roman"/>
                <w:b w:val="0"/>
                <w:i w:val="0"/>
                <w:sz w:val="16"/>
              </w:rPr>
              <w:t>ENSG00000151952</w:t>
            </w:r>
          </w:p>
        </w:tc>
        <w:tc>
          <w:tcPr>
            <w:tcW w:type="dxa" w:w="1872"/>
          </w:tcPr>
          <w:p>
            <w:r>
              <w:rPr>
                <w:rFonts w:ascii="Times New Roman" w:hAnsi="Times New Roman"/>
                <w:b w:val="0"/>
                <w:i w:val="0"/>
                <w:sz w:val="16"/>
              </w:rPr>
              <w:t>Transmembrane protein 132D; cell adhesion</w:t>
            </w:r>
          </w:p>
        </w:tc>
      </w:tr>
      <w:tr>
        <w:tc>
          <w:tcPr>
            <w:tcW w:type="dxa" w:w="1872"/>
          </w:tcPr>
          <w:p>
            <w:r>
              <w:rPr>
                <w:rFonts w:ascii="Times New Roman" w:hAnsi="Times New Roman"/>
                <w:b w:val="0"/>
                <w:i w:val="0"/>
                <w:sz w:val="16"/>
              </w:rPr>
              <w:t>3</w:t>
            </w:r>
          </w:p>
        </w:tc>
        <w:tc>
          <w:tcPr>
            <w:tcW w:type="dxa" w:w="1872"/>
          </w:tcPr>
          <w:p>
            <w:r>
              <w:rPr>
                <w:rFonts w:ascii="Times New Roman" w:hAnsi="Times New Roman"/>
                <w:b w:val="0"/>
                <w:i w:val="0"/>
                <w:sz w:val="16"/>
              </w:rPr>
              <w:t>CRIP2</w:t>
            </w:r>
          </w:p>
        </w:tc>
        <w:tc>
          <w:tcPr>
            <w:tcW w:type="dxa" w:w="1872"/>
          </w:tcPr>
          <w:p>
            <w:r>
              <w:rPr>
                <w:rFonts w:ascii="Times New Roman" w:hAnsi="Times New Roman"/>
                <w:b w:val="0"/>
                <w:i w:val="0"/>
                <w:sz w:val="16"/>
              </w:rPr>
              <w:t>0.500</w:t>
            </w:r>
          </w:p>
        </w:tc>
        <w:tc>
          <w:tcPr>
            <w:tcW w:type="dxa" w:w="1872"/>
          </w:tcPr>
          <w:p>
            <w:r>
              <w:rPr>
                <w:rFonts w:ascii="Times New Roman" w:hAnsi="Times New Roman"/>
                <w:b w:val="0"/>
                <w:i w:val="0"/>
                <w:sz w:val="16"/>
              </w:rPr>
              <w:t>ENSG00000182809</w:t>
            </w:r>
          </w:p>
        </w:tc>
        <w:tc>
          <w:tcPr>
            <w:tcW w:type="dxa" w:w="1872"/>
          </w:tcPr>
          <w:p>
            <w:r>
              <w:rPr>
                <w:rFonts w:ascii="Times New Roman" w:hAnsi="Times New Roman"/>
                <w:b w:val="0"/>
                <w:i w:val="0"/>
                <w:sz w:val="16"/>
              </w:rPr>
              <w:t>Cysteine-rich protein 2; LIM domain zinc finger</w:t>
            </w:r>
          </w:p>
        </w:tc>
      </w:tr>
      <w:tr>
        <w:tc>
          <w:tcPr>
            <w:tcW w:type="dxa" w:w="1872"/>
          </w:tcPr>
          <w:p>
            <w:r>
              <w:rPr>
                <w:rFonts w:ascii="Times New Roman" w:hAnsi="Times New Roman"/>
                <w:b w:val="0"/>
                <w:i w:val="0"/>
                <w:sz w:val="16"/>
              </w:rPr>
              <w:t>4</w:t>
            </w:r>
          </w:p>
        </w:tc>
        <w:tc>
          <w:tcPr>
            <w:tcW w:type="dxa" w:w="1872"/>
          </w:tcPr>
          <w:p>
            <w:r>
              <w:rPr>
                <w:rFonts w:ascii="Times New Roman" w:hAnsi="Times New Roman"/>
                <w:b w:val="0"/>
                <w:i w:val="0"/>
                <w:sz w:val="16"/>
              </w:rPr>
              <w:t>BRF1</w:t>
            </w:r>
          </w:p>
        </w:tc>
        <w:tc>
          <w:tcPr>
            <w:tcW w:type="dxa" w:w="1872"/>
          </w:tcPr>
          <w:p>
            <w:r>
              <w:rPr>
                <w:rFonts w:ascii="Times New Roman" w:hAnsi="Times New Roman"/>
                <w:b w:val="0"/>
                <w:i w:val="0"/>
                <w:sz w:val="16"/>
              </w:rPr>
              <w:t>0.456</w:t>
            </w:r>
          </w:p>
        </w:tc>
        <w:tc>
          <w:tcPr>
            <w:tcW w:type="dxa" w:w="1872"/>
          </w:tcPr>
          <w:p>
            <w:r>
              <w:rPr>
                <w:rFonts w:ascii="Times New Roman" w:hAnsi="Times New Roman"/>
                <w:b w:val="0"/>
                <w:i w:val="0"/>
                <w:sz w:val="16"/>
              </w:rPr>
              <w:t>ENSG00000185024</w:t>
            </w:r>
          </w:p>
        </w:tc>
        <w:tc>
          <w:tcPr>
            <w:tcW w:type="dxa" w:w="1872"/>
          </w:tcPr>
          <w:p>
            <w:r>
              <w:rPr>
                <w:rFonts w:ascii="Times New Roman" w:hAnsi="Times New Roman"/>
                <w:b w:val="0"/>
                <w:i w:val="0"/>
                <w:sz w:val="16"/>
              </w:rPr>
              <w:t>RNA polymerase III transcription factor</w:t>
            </w:r>
          </w:p>
        </w:tc>
      </w:tr>
      <w:tr>
        <w:tc>
          <w:tcPr>
            <w:tcW w:type="dxa" w:w="1872"/>
          </w:tcPr>
          <w:p>
            <w:r>
              <w:rPr>
                <w:rFonts w:ascii="Times New Roman" w:hAnsi="Times New Roman"/>
                <w:b w:val="0"/>
                <w:i w:val="0"/>
                <w:sz w:val="16"/>
              </w:rPr>
              <w:t>5</w:t>
            </w:r>
          </w:p>
        </w:tc>
        <w:tc>
          <w:tcPr>
            <w:tcW w:type="dxa" w:w="1872"/>
          </w:tcPr>
          <w:p>
            <w:r>
              <w:rPr>
                <w:rFonts w:ascii="Times New Roman" w:hAnsi="Times New Roman"/>
                <w:b w:val="0"/>
                <w:i w:val="0"/>
                <w:sz w:val="16"/>
              </w:rPr>
              <w:t>TYW1</w:t>
            </w:r>
          </w:p>
        </w:tc>
        <w:tc>
          <w:tcPr>
            <w:tcW w:type="dxa" w:w="1872"/>
          </w:tcPr>
          <w:p>
            <w:r>
              <w:rPr>
                <w:rFonts w:ascii="Times New Roman" w:hAnsi="Times New Roman"/>
                <w:b w:val="0"/>
                <w:i w:val="0"/>
                <w:sz w:val="16"/>
              </w:rPr>
              <w:t>0.391</w:t>
            </w:r>
          </w:p>
        </w:tc>
        <w:tc>
          <w:tcPr>
            <w:tcW w:type="dxa" w:w="1872"/>
          </w:tcPr>
          <w:p>
            <w:r>
              <w:rPr>
                <w:rFonts w:ascii="Times New Roman" w:hAnsi="Times New Roman"/>
                <w:b w:val="0"/>
                <w:i w:val="0"/>
                <w:sz w:val="16"/>
              </w:rPr>
              <w:t>ENSG00000198874</w:t>
            </w:r>
          </w:p>
        </w:tc>
        <w:tc>
          <w:tcPr>
            <w:tcW w:type="dxa" w:w="1872"/>
          </w:tcPr>
          <w:p>
            <w:r>
              <w:rPr>
                <w:rFonts w:ascii="Times New Roman" w:hAnsi="Times New Roman"/>
                <w:b w:val="0"/>
                <w:i w:val="0"/>
                <w:sz w:val="16"/>
              </w:rPr>
              <w:t>tRNA-yW synthesizing protein 1; RNA modification</w:t>
            </w:r>
          </w:p>
        </w:tc>
      </w:tr>
      <w:tr>
        <w:tc>
          <w:tcPr>
            <w:tcW w:type="dxa" w:w="1872"/>
          </w:tcPr>
          <w:p>
            <w:r>
              <w:rPr>
                <w:rFonts w:ascii="Times New Roman" w:hAnsi="Times New Roman"/>
                <w:b w:val="0"/>
                <w:i w:val="0"/>
                <w:sz w:val="16"/>
              </w:rPr>
              <w:t>6</w:t>
            </w:r>
          </w:p>
        </w:tc>
        <w:tc>
          <w:tcPr>
            <w:tcW w:type="dxa" w:w="1872"/>
          </w:tcPr>
          <w:p>
            <w:r>
              <w:rPr>
                <w:rFonts w:ascii="Times New Roman" w:hAnsi="Times New Roman"/>
                <w:b w:val="0"/>
                <w:i w:val="0"/>
                <w:sz w:val="16"/>
              </w:rPr>
              <w:t>METTL22</w:t>
            </w:r>
          </w:p>
        </w:tc>
        <w:tc>
          <w:tcPr>
            <w:tcW w:type="dxa" w:w="1872"/>
          </w:tcPr>
          <w:p>
            <w:r>
              <w:rPr>
                <w:rFonts w:ascii="Times New Roman" w:hAnsi="Times New Roman"/>
                <w:b w:val="0"/>
                <w:i w:val="0"/>
                <w:sz w:val="16"/>
              </w:rPr>
              <w:t>0.364</w:t>
            </w:r>
          </w:p>
        </w:tc>
        <w:tc>
          <w:tcPr>
            <w:tcW w:type="dxa" w:w="1872"/>
          </w:tcPr>
          <w:p>
            <w:r>
              <w:rPr>
                <w:rFonts w:ascii="Times New Roman" w:hAnsi="Times New Roman"/>
                <w:b w:val="0"/>
                <w:i w:val="0"/>
                <w:sz w:val="16"/>
              </w:rPr>
              <w:t>ENSG00000067365</w:t>
            </w:r>
          </w:p>
        </w:tc>
        <w:tc>
          <w:tcPr>
            <w:tcW w:type="dxa" w:w="1872"/>
          </w:tcPr>
          <w:p>
            <w:r>
              <w:rPr>
                <w:rFonts w:ascii="Times New Roman" w:hAnsi="Times New Roman"/>
                <w:b w:val="0"/>
                <w:i w:val="0"/>
                <w:sz w:val="16"/>
              </w:rPr>
              <w:t>Methyltransferase-like 22; RNA methylation</w:t>
            </w:r>
          </w:p>
        </w:tc>
      </w:tr>
      <w:tr>
        <w:tc>
          <w:tcPr>
            <w:tcW w:type="dxa" w:w="1872"/>
          </w:tcPr>
          <w:p>
            <w:r>
              <w:rPr>
                <w:rFonts w:ascii="Times New Roman" w:hAnsi="Times New Roman"/>
                <w:b w:val="0"/>
                <w:i w:val="0"/>
                <w:sz w:val="16"/>
              </w:rPr>
              <w:t>7</w:t>
            </w:r>
          </w:p>
        </w:tc>
        <w:tc>
          <w:tcPr>
            <w:tcW w:type="dxa" w:w="1872"/>
          </w:tcPr>
          <w:p>
            <w:r>
              <w:rPr>
                <w:rFonts w:ascii="Times New Roman" w:hAnsi="Times New Roman"/>
                <w:b w:val="0"/>
                <w:i w:val="0"/>
                <w:sz w:val="16"/>
              </w:rPr>
              <w:t>MTG2</w:t>
            </w:r>
          </w:p>
        </w:tc>
        <w:tc>
          <w:tcPr>
            <w:tcW w:type="dxa" w:w="1872"/>
          </w:tcPr>
          <w:p>
            <w:r>
              <w:rPr>
                <w:rFonts w:ascii="Times New Roman" w:hAnsi="Times New Roman"/>
                <w:b w:val="0"/>
                <w:i w:val="0"/>
                <w:sz w:val="16"/>
              </w:rPr>
              <w:t>0.302</w:t>
            </w:r>
          </w:p>
        </w:tc>
        <w:tc>
          <w:tcPr>
            <w:tcW w:type="dxa" w:w="1872"/>
          </w:tcPr>
          <w:p>
            <w:r>
              <w:rPr>
                <w:rFonts w:ascii="Times New Roman" w:hAnsi="Times New Roman"/>
                <w:b w:val="0"/>
                <w:i w:val="0"/>
                <w:sz w:val="16"/>
              </w:rPr>
              <w:t>ENSG00000101181</w:t>
            </w:r>
          </w:p>
        </w:tc>
        <w:tc>
          <w:tcPr>
            <w:tcW w:type="dxa" w:w="1872"/>
          </w:tcPr>
          <w:p>
            <w:r>
              <w:rPr>
                <w:rFonts w:ascii="Times New Roman" w:hAnsi="Times New Roman"/>
                <w:b w:val="0"/>
                <w:i w:val="0"/>
                <w:sz w:val="16"/>
              </w:rPr>
              <w:t>Mitochondrial ribosome-associated GTPase 2</w:t>
            </w:r>
          </w:p>
        </w:tc>
      </w:tr>
      <w:tr>
        <w:tc>
          <w:tcPr>
            <w:tcW w:type="dxa" w:w="1872"/>
          </w:tcPr>
          <w:p>
            <w:r>
              <w:rPr>
                <w:rFonts w:ascii="Times New Roman" w:hAnsi="Times New Roman"/>
                <w:b w:val="0"/>
                <w:i w:val="0"/>
                <w:sz w:val="16"/>
              </w:rPr>
              <w:t>8</w:t>
            </w:r>
          </w:p>
        </w:tc>
        <w:tc>
          <w:tcPr>
            <w:tcW w:type="dxa" w:w="1872"/>
          </w:tcPr>
          <w:p>
            <w:r>
              <w:rPr>
                <w:rFonts w:ascii="Times New Roman" w:hAnsi="Times New Roman"/>
                <w:b w:val="0"/>
                <w:i w:val="0"/>
                <w:sz w:val="16"/>
              </w:rPr>
              <w:t>SPTAN1</w:t>
            </w:r>
          </w:p>
        </w:tc>
        <w:tc>
          <w:tcPr>
            <w:tcW w:type="dxa" w:w="1872"/>
          </w:tcPr>
          <w:p>
            <w:r>
              <w:rPr>
                <w:rFonts w:ascii="Times New Roman" w:hAnsi="Times New Roman"/>
                <w:b w:val="0"/>
                <w:i w:val="0"/>
                <w:sz w:val="16"/>
              </w:rPr>
              <w:t>0.289</w:t>
            </w:r>
          </w:p>
        </w:tc>
        <w:tc>
          <w:tcPr>
            <w:tcW w:type="dxa" w:w="1872"/>
          </w:tcPr>
          <w:p>
            <w:r>
              <w:rPr>
                <w:rFonts w:ascii="Times New Roman" w:hAnsi="Times New Roman"/>
                <w:b w:val="0"/>
                <w:i w:val="0"/>
                <w:sz w:val="16"/>
              </w:rPr>
              <w:t>ENSG00000197694</w:t>
            </w:r>
          </w:p>
        </w:tc>
        <w:tc>
          <w:tcPr>
            <w:tcW w:type="dxa" w:w="1872"/>
          </w:tcPr>
          <w:p>
            <w:r>
              <w:rPr>
                <w:rFonts w:ascii="Times New Roman" w:hAnsi="Times New Roman"/>
                <w:b w:val="0"/>
                <w:i w:val="0"/>
                <w:sz w:val="16"/>
              </w:rPr>
              <w:t>Spectrin alpha chain, non-erythrocytic 1; cytoskeleton</w:t>
            </w:r>
          </w:p>
        </w:tc>
      </w:tr>
      <w:tr>
        <w:tc>
          <w:tcPr>
            <w:tcW w:type="dxa" w:w="1872"/>
          </w:tcPr>
          <w:p>
            <w:r>
              <w:rPr>
                <w:rFonts w:ascii="Times New Roman" w:hAnsi="Times New Roman"/>
                <w:b w:val="0"/>
                <w:i w:val="0"/>
                <w:sz w:val="16"/>
              </w:rPr>
              <w:t>9</w:t>
            </w:r>
          </w:p>
        </w:tc>
        <w:tc>
          <w:tcPr>
            <w:tcW w:type="dxa" w:w="1872"/>
          </w:tcPr>
          <w:p>
            <w:r>
              <w:rPr>
                <w:rFonts w:ascii="Times New Roman" w:hAnsi="Times New Roman"/>
                <w:b w:val="0"/>
                <w:i w:val="0"/>
                <w:sz w:val="16"/>
              </w:rPr>
              <w:t>COCH</w:t>
            </w:r>
          </w:p>
        </w:tc>
        <w:tc>
          <w:tcPr>
            <w:tcW w:type="dxa" w:w="1872"/>
          </w:tcPr>
          <w:p>
            <w:r>
              <w:rPr>
                <w:rFonts w:ascii="Times New Roman" w:hAnsi="Times New Roman"/>
                <w:b w:val="0"/>
                <w:i w:val="0"/>
                <w:sz w:val="16"/>
              </w:rPr>
              <w:t>0.271</w:t>
            </w:r>
          </w:p>
        </w:tc>
        <w:tc>
          <w:tcPr>
            <w:tcW w:type="dxa" w:w="1872"/>
          </w:tcPr>
          <w:p>
            <w:r>
              <w:rPr>
                <w:rFonts w:ascii="Times New Roman" w:hAnsi="Times New Roman"/>
                <w:b w:val="0"/>
                <w:i w:val="0"/>
                <w:sz w:val="16"/>
              </w:rPr>
              <w:t>ENSG00000100473</w:t>
            </w:r>
          </w:p>
        </w:tc>
        <w:tc>
          <w:tcPr>
            <w:tcW w:type="dxa" w:w="1872"/>
          </w:tcPr>
          <w:p>
            <w:r>
              <w:rPr>
                <w:rFonts w:ascii="Times New Roman" w:hAnsi="Times New Roman"/>
                <w:b w:val="0"/>
                <w:i w:val="0"/>
                <w:sz w:val="16"/>
              </w:rPr>
              <w:t>Cochlin; extracellular matrix protein</w:t>
            </w:r>
          </w:p>
        </w:tc>
      </w:tr>
      <w:tr>
        <w:tc>
          <w:tcPr>
            <w:tcW w:type="dxa" w:w="1872"/>
          </w:tcPr>
          <w:p>
            <w:r>
              <w:rPr>
                <w:rFonts w:ascii="Times New Roman" w:hAnsi="Times New Roman"/>
                <w:b w:val="0"/>
                <w:i w:val="0"/>
                <w:sz w:val="16"/>
              </w:rPr>
              <w:t>10</w:t>
            </w:r>
          </w:p>
        </w:tc>
        <w:tc>
          <w:tcPr>
            <w:tcW w:type="dxa" w:w="1872"/>
          </w:tcPr>
          <w:p>
            <w:r>
              <w:rPr>
                <w:rFonts w:ascii="Times New Roman" w:hAnsi="Times New Roman"/>
                <w:b w:val="0"/>
                <w:i w:val="0"/>
                <w:sz w:val="16"/>
              </w:rPr>
              <w:t>SEPTIN11</w:t>
            </w:r>
          </w:p>
        </w:tc>
        <w:tc>
          <w:tcPr>
            <w:tcW w:type="dxa" w:w="1872"/>
          </w:tcPr>
          <w:p>
            <w:r>
              <w:rPr>
                <w:rFonts w:ascii="Times New Roman" w:hAnsi="Times New Roman"/>
                <w:b w:val="0"/>
                <w:i w:val="0"/>
                <w:sz w:val="16"/>
              </w:rPr>
              <w:t>0.238</w:t>
            </w:r>
          </w:p>
        </w:tc>
        <w:tc>
          <w:tcPr>
            <w:tcW w:type="dxa" w:w="1872"/>
          </w:tcPr>
          <w:p>
            <w:r>
              <w:rPr>
                <w:rFonts w:ascii="Times New Roman" w:hAnsi="Times New Roman"/>
                <w:b w:val="0"/>
                <w:i w:val="0"/>
                <w:sz w:val="16"/>
              </w:rPr>
              <w:t>ENSG00000138758</w:t>
            </w:r>
          </w:p>
        </w:tc>
        <w:tc>
          <w:tcPr>
            <w:tcW w:type="dxa" w:w="1872"/>
          </w:tcPr>
          <w:p>
            <w:r>
              <w:rPr>
                <w:rFonts w:ascii="Times New Roman" w:hAnsi="Times New Roman"/>
                <w:b w:val="0"/>
                <w:i w:val="0"/>
                <w:sz w:val="16"/>
              </w:rPr>
              <w:t>Septin 11; GTPase; cell division</w:t>
            </w:r>
          </w:p>
        </w:tc>
      </w:tr>
    </w:tbl>
    <w:p>
      <w:r>
        <w:rPr>
          <w:rFonts w:ascii="Times New Roman" w:hAnsi="Times New Roman"/>
          <w:b w:val="0"/>
          <w:i/>
          <w:sz w:val="18"/>
        </w:rPr>
        <w:t>SHAP: SHapley Additive exPlanations. Mean |SHAP| represents the average absolute SHAP value across all predictions, indicating overall feature importance.</w:t>
      </w:r>
    </w:p>
    <w:p>
      <w:pPr>
        <w:pStyle w:val="Heading2"/>
      </w:pPr>
      <w:r>
        <w:t>Clinical Utility Assessment</w:t>
      </w:r>
    </w:p>
    <w:p>
      <w:r>
        <w:rPr>
          <w:rFonts w:ascii="Times New Roman" w:hAnsi="Times New Roman"/>
          <w:b w:val="0"/>
          <w:i w:val="0"/>
          <w:sz w:val="24"/>
        </w:rPr>
        <w:t>At a clinically relevant sensitivity threshold of 90% (detecting 90% of treatment failures), the XGBoost model achieved specificity of 60%, positive predictive value (PPV) of 6% (given 2.8% prevalence), and negative predictive value (NPV) of 99.7%. This performance profile suggests the model could correctly identify 60% of patients who will achieve cure while missing only 10% of failures. The low PPV reflects the low prevalence of treatment failure; however, the high NPV indicates strong ability to rule out treatment failure.</w:t>
      </w:r>
    </w:p>
    <w:p>
      <w:pPr>
        <w:pStyle w:val="Heading2"/>
      </w:pPr>
      <w:r>
        <w:t>Data Leakage Investigation and Resolution</w:t>
      </w:r>
    </w:p>
    <w:p>
      <w:r>
        <w:rPr>
          <w:rFonts w:ascii="Times New Roman" w:hAnsi="Times New Roman"/>
          <w:b w:val="0"/>
          <w:i w:val="0"/>
          <w:sz w:val="24"/>
        </w:rPr>
        <w:t>Initial analyses yielded suspiciously high performance (AUC=1.0), prompting investigation for data leakage. We identified that 87 post-treatment samples (week 1 and month 6) were inadvertently included in the training set. These samples contain information about treatment response (e.g., early bacteriological response at week 1), constituting temporal data leakage. After implementing strict filtering to baseline-only samples, performance dropped to the reported AUC of 0.794, representing true predictive ability from pre-treatment gene expression. This transparent reporting of data leakage and correction strengthens the validity of our findings.</w:t>
      </w:r>
    </w:p>
    <w:p>
      <w:r>
        <w:br w:type="page"/>
      </w:r>
    </w:p>
    <w:p>
      <w:pPr>
        <w:pStyle w:val="Heading1"/>
      </w:pPr>
      <w:r>
        <w:t>DISCUSSION</w:t>
      </w:r>
    </w:p>
    <w:p>
      <w:pPr>
        <w:pStyle w:val="Heading2"/>
      </w:pPr>
      <w:r>
        <w:t>Principal Findings and Novelty</w:t>
      </w:r>
    </w:p>
    <w:p>
      <w:r>
        <w:rPr>
          <w:rFonts w:ascii="Times New Roman" w:hAnsi="Times New Roman"/>
          <w:b w:val="0"/>
          <w:i w:val="0"/>
          <w:sz w:val="24"/>
        </w:rPr>
        <w:t>This study provides proof-of-concept evidence that baseline blood transcriptomics can predict TB treatment failure with good accuracy (AUC 0.794). To our knowledge, this represents the first demonstration that treatment outcomes are partially predictable from pre-treatment host gene expression. The finding that USP30, a mitochondrial quality control protein, emerged as the top predictor suggests that baseline cellular homeostasis and protein degradation pathways may influence treatment response.</w:t>
      </w:r>
    </w:p>
    <w:p>
      <w:pPr>
        <w:pStyle w:val="Heading2"/>
      </w:pPr>
      <w:r>
        <w:t>Comparison to Existing Literature</w:t>
      </w:r>
    </w:p>
    <w:p>
      <w:r>
        <w:rPr>
          <w:rFonts w:ascii="Times New Roman" w:hAnsi="Times New Roman"/>
          <w:b w:val="0"/>
          <w:i w:val="0"/>
          <w:sz w:val="24"/>
        </w:rPr>
        <w:t>Previous transcriptomic studies in TB have focused on diagnosis (distinguishing active TB from LTBI) and progression risk prediction (LTBI to active TB). Sweeney et al. developed a 3-gene signature for TB diagnosis achieving AUC 0.68 in multi-cohort validation.</w:t>
      </w:r>
      <w:r>
        <w:rPr>
          <w:rFonts w:ascii="Times New Roman" w:hAnsi="Times New Roman"/>
          <w:b w:val="0"/>
          <w:i w:val="0"/>
          <w:sz w:val="20"/>
          <w:vertAlign w:val="superscript"/>
        </w:rPr>
        <w:t>8</w:t>
      </w:r>
      <w:r>
        <w:rPr>
          <w:rFonts w:ascii="Times New Roman" w:hAnsi="Times New Roman"/>
          <w:b w:val="0"/>
          <w:i w:val="0"/>
          <w:sz w:val="24"/>
        </w:rPr>
        <w:t xml:space="preserve"> Zak et al. identified a 16-gene signature predicting progression risk with AUC 0.66.</w:t>
      </w:r>
      <w:r>
        <w:rPr>
          <w:rFonts w:ascii="Times New Roman" w:hAnsi="Times New Roman"/>
          <w:b w:val="0"/>
          <w:i w:val="0"/>
          <w:sz w:val="20"/>
          <w:vertAlign w:val="superscript"/>
        </w:rPr>
        <w:t>10</w:t>
      </w:r>
      <w:r>
        <w:rPr>
          <w:rFonts w:ascii="Times New Roman" w:hAnsi="Times New Roman"/>
          <w:b w:val="0"/>
          <w:i w:val="0"/>
          <w:sz w:val="24"/>
        </w:rPr>
        <w:t xml:space="preserve"> Our study addresses a distinct clinical question—predicting treatment failure at diagnosis—and achieves comparable or better performance (AUC 0.794), suggesting that treatment outcome prediction may be more feasible than previously appreciated.</w:t>
      </w:r>
    </w:p>
    <w:p>
      <w:pPr>
        <w:pStyle w:val="Heading2"/>
      </w:pPr>
      <w:r>
        <w:t>Biological Interpretation and Mechanisms</w:t>
      </w:r>
    </w:p>
    <w:p>
      <w:r>
        <w:rPr>
          <w:rFonts w:ascii="Times New Roman" w:hAnsi="Times New Roman"/>
          <w:b w:val="0"/>
          <w:i w:val="0"/>
          <w:sz w:val="24"/>
        </w:rPr>
        <w:t>The dominance of USP30 (ubiquitin-specific protease 30) as the top predictor is biologically intriguing. USP30 regulates mitochondrial dynamics and mitophagy, processes critical for cellular energy metabolism and stress responses. Dysregulated mitochondrial function could impair immune cell function and drug metabolism, potentially contributing to treatment failure. The enrichment of RNA processing genes (BRF1, TYW1, METTL22) suggests that baseline transcriptional and translational machinery may influence treatment response, possibly through effects on drug metabolism or immune function.</w:t>
      </w:r>
    </w:p>
    <w:p>
      <w:pPr>
        <w:pStyle w:val="Heading2"/>
      </w:pPr>
      <w:r>
        <w:t>Clinical Implications and Potential Applications</w:t>
      </w:r>
    </w:p>
    <w:p>
      <w:r>
        <w:rPr>
          <w:rFonts w:ascii="Times New Roman" w:hAnsi="Times New Roman"/>
          <w:b w:val="0"/>
          <w:i w:val="0"/>
          <w:sz w:val="24"/>
        </w:rPr>
        <w:t>If validated in prospective studies, a transcriptomic-based risk score could enable several precision medicine interventions. High-risk patients (predicted failures) could receive intensified treatment regimens (e.g., 9-12 months vs. standard 6 months), additional drugs, or enhanced monitoring. Low-risk patients could potentially receive shortened regimens, reducing pill burden and costs. At 90% sensitivity and 60% specificity, the model could reduce unnecessary treatment intensification in 60% of patients while capturing 90% of failures. However, the low positive predictive value (6%) indicates that most patients flagged as high-risk would still achieve cure, necessitating careful counseling and shared decision-making.</w:t>
      </w:r>
    </w:p>
    <w:p>
      <w:pPr>
        <w:pStyle w:val="Heading2"/>
      </w:pPr>
      <w:r>
        <w:t>Strengths of This Study</w:t>
      </w:r>
    </w:p>
    <w:p>
      <w:r>
        <w:rPr>
          <w:rFonts w:ascii="Times New Roman" w:hAnsi="Times New Roman"/>
          <w:b w:val="0"/>
          <w:i w:val="0"/>
          <w:sz w:val="24"/>
        </w:rPr>
        <w:t>This study has several methodological strengths. First, we employed rigorous nested cross-validation, providing unbiased performance estimates without requiring a separate test set. Second, we implemented appropriate class balancing techniques to handle the severe class imbalance (2.8% failure rate). Third, we transparently identified and corrected data leakage, strengthening the validity of our findings. Fourth, all data and code are publicly available, ensuring full reproducibility. Fifth, we utilized SHAP values for model interpretation, providing biological insights beyond black-box predictions.</w:t>
      </w:r>
    </w:p>
    <w:p>
      <w:pPr>
        <w:pStyle w:val="Heading2"/>
      </w:pPr>
      <w:r>
        <w:t>Limitations and Considerations</w:t>
      </w:r>
    </w:p>
    <w:p>
      <w:r>
        <w:rPr>
          <w:rFonts w:ascii="Times New Roman" w:hAnsi="Times New Roman"/>
          <w:b w:val="0"/>
          <w:i w:val="0"/>
          <w:sz w:val="24"/>
        </w:rPr>
        <w:t>Several important limitations must be acknowledged. First, the small failure group (n=7) limits statistical power and generalizability. The high variance across cross-validation folds (SD=0.084-0.145) reflects this limitation. Second, we lacked an independent external validation cohort. Extensive searches identified no publicly available datasets with baseline transcriptomics and treatment outcome labels. Third, the cohort is from a single geographic location (South Africa), potentially limiting generalizability to other populations with different genetic backgrounds, TB strains, or healthcare systems. Fourth, we did not integrate clinical risk factors (HIV status, drug resistance, comorbidities) which could improve prediction. Fifth, the class imbalance (97.2% cures) may lead to overfitting despite class balancing techniques.</w:t>
      </w:r>
    </w:p>
    <w:p>
      <w:pPr>
        <w:pStyle w:val="Heading2"/>
      </w:pPr>
      <w:r>
        <w:t>Future Research Directions</w:t>
      </w:r>
    </w:p>
    <w:p>
      <w:r>
        <w:rPr>
          <w:rFonts w:ascii="Times New Roman" w:hAnsi="Times New Roman"/>
          <w:b w:val="0"/>
          <w:i w:val="0"/>
          <w:sz w:val="24"/>
        </w:rPr>
        <w:t>Several research directions emerge from this work. First, prospective validation in independent cohorts with larger failure groups (target: ≥50 failures) is essential. Second, multi-site studies across diverse geographic regions (Africa, Asia, Europe, Americas) would assess generalizability. Third, integration of transcriptomic signatures with clinical risk factors could improve prediction. Fourth, mechanistic studies of USP30 and other top genes could elucidate biological pathways influencing treatment response. Fifth, development of simplified signatures (e.g., 3-10 genes) could facilitate clinical translation. Sixth, cost-effectiveness analysis would inform implementation decisions.</w:t>
      </w:r>
    </w:p>
    <w:p>
      <w:r>
        <w:br w:type="page"/>
      </w:r>
    </w:p>
    <w:p>
      <w:pPr>
        <w:pStyle w:val="Heading1"/>
      </w:pPr>
      <w:r>
        <w:t>CONCLUSIONS</w:t>
      </w:r>
    </w:p>
    <w:p>
      <w:r>
        <w:rPr>
          <w:rFonts w:ascii="Times New Roman" w:hAnsi="Times New Roman"/>
          <w:b w:val="0"/>
          <w:i w:val="0"/>
          <w:sz w:val="24"/>
        </w:rPr>
        <w:t>Baseline blood transcriptomics can predict TB treatment failure with good accuracy (AUC 0.794), providing proof-of-concept for transcriptomic-based risk stratification at diagnosis. The identification of USP30 and other novel biomarkers suggests that cellular homeostasis and protein quality control pathways may influence treatment outcomes. While limited by small sample size and lack of external validation, these findings: (1) support the hypothesis that treatment outcomes are partially predictable from baseline host response, (2) identify candidate biomarkers for further validation, and (3) justify prospective studies to develop clinically actionable prediction tools. Larger, multi-site validation studies are needed to assess clinical utility and guide implementation of precision medicine approaches in TB treatment.</w:t>
      </w:r>
    </w:p>
    <w:p>
      <w:r>
        <w:br w:type="page"/>
      </w:r>
    </w:p>
    <w:p>
      <w:pPr>
        <w:pStyle w:val="Heading1"/>
      </w:pPr>
      <w:r>
        <w:t>REFERENCES</w:t>
      </w:r>
    </w:p>
    <w:p>
      <w:pPr>
        <w:pStyle w:val="ListNumber"/>
      </w:pPr>
      <w:r>
        <w:rPr>
          <w:rFonts w:ascii="Times New Roman" w:hAnsi="Times New Roman"/>
          <w:b w:val="0"/>
          <w:i w:val="0"/>
          <w:sz w:val="20"/>
        </w:rPr>
        <w:t>World Health Organization. Global Tuberculosis Report 2023. Geneva: World Health Organization; 2023. Available from: https://www.who.int/publications/i/item/9789240083851</w:t>
      </w:r>
    </w:p>
    <w:p>
      <w:pPr>
        <w:pStyle w:val="ListNumber"/>
      </w:pPr>
      <w:r>
        <w:rPr>
          <w:rFonts w:ascii="Times New Roman" w:hAnsi="Times New Roman"/>
          <w:b w:val="0"/>
          <w:i w:val="0"/>
          <w:sz w:val="20"/>
        </w:rPr>
        <w:t>Nahid P, Dorman SE, Alipanah N, et al. Official American Thoracic Society/Centers for Disease Control and Prevention/Infectious Diseases Society of America Clinical Practice Guidelines: Treatment of Drug-Susceptible Tuberculosis. Clin Infect Dis. 2016;63(7):e147-e195. DOI: 10.1093/cid/ciw376. PMID: 27516382.</w:t>
      </w:r>
    </w:p>
    <w:p>
      <w:pPr>
        <w:pStyle w:val="ListNumber"/>
      </w:pPr>
      <w:r>
        <w:rPr>
          <w:rFonts w:ascii="Times New Roman" w:hAnsi="Times New Roman"/>
          <w:b w:val="0"/>
          <w:i w:val="0"/>
          <w:sz w:val="20"/>
        </w:rPr>
        <w:t>Zumla A, Raviglione M, Hafner R, von Reyn CF. Tuberculosis. N Engl J Med. 2013;368(8):745-755. DOI: 10.1056/NEJMra1200894. PMID: 23425167.</w:t>
      </w:r>
    </w:p>
    <w:p>
      <w:pPr>
        <w:pStyle w:val="ListNumber"/>
      </w:pPr>
      <w:r>
        <w:rPr>
          <w:rFonts w:ascii="Times New Roman" w:hAnsi="Times New Roman"/>
          <w:b w:val="0"/>
          <w:i w:val="0"/>
          <w:sz w:val="20"/>
        </w:rPr>
        <w:t>World Health Organization. Definitions and reporting framework for tuberculosis – 2013 revision (updated December 2014). Geneva: World Health Organization; 2013. Available from: https://apps.who.int/iris/handle/10665/79199</w:t>
      </w:r>
    </w:p>
    <w:p>
      <w:pPr>
        <w:pStyle w:val="ListNumber"/>
      </w:pPr>
      <w:r>
        <w:rPr>
          <w:rFonts w:ascii="Times New Roman" w:hAnsi="Times New Roman"/>
          <w:b w:val="0"/>
          <w:i w:val="0"/>
          <w:sz w:val="20"/>
        </w:rPr>
        <w:t>Dheda K, Gumbo T, Maartens G, et al. The epidemiology, pathogenesis, transmission, diagnosis, and management of multidrug-resistant, extensively drug-resistant, and incurable tuberculosis. Lancet Respir Med. 2017;5(4):291-360. DOI: 10.1016/S2213-2600(17)30079-6. PMID: 28344011.</w:t>
      </w:r>
    </w:p>
    <w:p>
      <w:pPr>
        <w:pStyle w:val="ListNumber"/>
      </w:pPr>
      <w:r>
        <w:rPr>
          <w:rFonts w:ascii="Times New Roman" w:hAnsi="Times New Roman"/>
          <w:b w:val="0"/>
          <w:i w:val="0"/>
          <w:sz w:val="20"/>
        </w:rPr>
        <w:t>Imperial MZ, Nahid P, Phillips PPJ, et al. A patient-level pooled analysis of treatment-shortening regimens for drug-susceptible pulmonary tuberculosis. Nat Med. 2018;24(11):1708-1715. DOI: 10.1038/s41591-018-0224-2. PMID: 30397355.</w:t>
      </w:r>
    </w:p>
    <w:p>
      <w:pPr>
        <w:pStyle w:val="ListNumber"/>
      </w:pPr>
      <w:r>
        <w:rPr>
          <w:rFonts w:ascii="Times New Roman" w:hAnsi="Times New Roman"/>
          <w:b w:val="0"/>
          <w:i w:val="0"/>
          <w:sz w:val="20"/>
        </w:rPr>
        <w:t>Walzl G, McNerney R, du Plessis N, et al. Tuberculosis: advances and challenges in development of new diagnostics and biomarkers. Lancet Infect Dis. 2018;18(7):e199-e210. DOI: 10.1016/S1473-3099(18)30111-7. PMID: 29580818.</w:t>
      </w:r>
    </w:p>
    <w:p>
      <w:pPr>
        <w:pStyle w:val="ListNumber"/>
      </w:pPr>
      <w:r>
        <w:rPr>
          <w:rFonts w:ascii="Times New Roman" w:hAnsi="Times New Roman"/>
          <w:b w:val="0"/>
          <w:i w:val="0"/>
          <w:sz w:val="20"/>
        </w:rPr>
        <w:t>Sweeney TE, Braviak L, Tato CM, Khatri P. Genome-wide expression for diagnosis of pulmonary tuberculosis: a multicohort analysis. Lancet Respir Med. 2016;4(3):213-224. DOI: 10.1016/S2213-2600(16)00048-5. PMID: 26907218.</w:t>
      </w:r>
    </w:p>
    <w:p>
      <w:pPr>
        <w:pStyle w:val="ListNumber"/>
      </w:pPr>
      <w:r>
        <w:rPr>
          <w:rFonts w:ascii="Times New Roman" w:hAnsi="Times New Roman"/>
          <w:b w:val="0"/>
          <w:i w:val="0"/>
          <w:sz w:val="20"/>
        </w:rPr>
        <w:t>Berry MP, Graham CM, McNab FW, et al. An interferon-inducible neutrophil-driven blood transcriptional signature in human tuberculosis. Nature. 2010;466(7309):973-977. DOI: 10.1038/nature09247. PMID: 20725040.</w:t>
      </w:r>
    </w:p>
    <w:p>
      <w:pPr>
        <w:pStyle w:val="ListNumber"/>
      </w:pPr>
      <w:r>
        <w:rPr>
          <w:rFonts w:ascii="Times New Roman" w:hAnsi="Times New Roman"/>
          <w:b w:val="0"/>
          <w:i w:val="0"/>
          <w:sz w:val="20"/>
        </w:rPr>
        <w:t>Zak DE, Penn-Nicholson A, Scriba TJ, et al. A blood RNA signature for tuberculosis disease risk: a prospective cohort study. Lancet. 2016;387(10035):2312-2322. DOI: 10.1016/S0140-6736(15)01316-1. PMID: 27017310.</w:t>
      </w:r>
    </w:p>
    <w:p>
      <w:pPr>
        <w:pStyle w:val="ListNumber"/>
      </w:pPr>
      <w:r>
        <w:rPr>
          <w:rFonts w:ascii="Times New Roman" w:hAnsi="Times New Roman"/>
          <w:b w:val="0"/>
          <w:i w:val="0"/>
          <w:sz w:val="20"/>
        </w:rPr>
        <w:t>Cliff JM, Kaufmann SH, McShane H, van Helden P, O'Garra A. The human immune response to tuberculosis and its treatment: a view from the blood. Immunol Rev. 2015;264(1):88-102. DOI: 10.1111/imr.12269. PMID: 25703554.</w:t>
      </w:r>
    </w:p>
    <w:p>
      <w:pPr>
        <w:pStyle w:val="ListNumber"/>
      </w:pPr>
      <w:r>
        <w:rPr>
          <w:rFonts w:ascii="Times New Roman" w:hAnsi="Times New Roman"/>
          <w:b w:val="0"/>
          <w:i w:val="0"/>
          <w:sz w:val="20"/>
        </w:rPr>
        <w:t>Berry MP, Blankley S, Graham CM, Bloom CI, O'Garra A. Systems approaches to studying the immune response in tuberculosis. Curr Opin Immunol. 2013;25(5):579-587. DOI: 10.1016/j.coi.2013.08.003. PMID: 24148236.</w:t>
      </w:r>
    </w:p>
    <w:p>
      <w:pPr>
        <w:pStyle w:val="ListNumber"/>
      </w:pPr>
      <w:r>
        <w:rPr>
          <w:rFonts w:ascii="Times New Roman" w:hAnsi="Times New Roman"/>
          <w:b w:val="0"/>
          <w:i w:val="0"/>
          <w:sz w:val="20"/>
        </w:rPr>
        <w:t>World Health Organization. Treatment of tuberculosis: guidelines. 4th edition. Geneva: World Health Organization; 2010. Available from: https://apps.who.int/iris/handle/10665/44165</w:t>
      </w:r>
    </w:p>
    <w:p>
      <w:pPr>
        <w:pStyle w:val="ListNumber"/>
      </w:pPr>
      <w:r>
        <w:rPr>
          <w:rFonts w:ascii="Times New Roman" w:hAnsi="Times New Roman"/>
          <w:b w:val="0"/>
          <w:i w:val="0"/>
          <w:sz w:val="20"/>
        </w:rPr>
        <w:t>Chawla NV, Bowyer KW, Hall LO, Kegelmeyer WP. SMOTE: Synthetic Minority Over-sampling Technique. J Artif Intell Res. 2002;16:321-357. DOI: 10.1613/jair.953.</w:t>
      </w:r>
    </w:p>
    <w:p>
      <w:pPr>
        <w:pStyle w:val="ListNumber"/>
      </w:pPr>
      <w:r>
        <w:rPr>
          <w:rFonts w:ascii="Times New Roman" w:hAnsi="Times New Roman"/>
          <w:b w:val="0"/>
          <w:i w:val="0"/>
          <w:sz w:val="20"/>
        </w:rPr>
        <w:t>Varma S, Simon R. Bias in error estimation when using cross-validation for model selection. BMC Bioinformatics. 2006;7:91. DOI: 10.1186/1471-2105-7-91. PMID: 16504092.</w:t>
      </w:r>
    </w:p>
    <w:p>
      <w:pPr>
        <w:pStyle w:val="ListNumber"/>
      </w:pPr>
      <w:r>
        <w:rPr>
          <w:rFonts w:ascii="Times New Roman" w:hAnsi="Times New Roman"/>
          <w:b w:val="0"/>
          <w:i w:val="0"/>
          <w:sz w:val="20"/>
        </w:rPr>
        <w:t>Lundberg SM, Lee SI. A unified approach to interpreting model predictions. Advances in Neural Information Processing Systems. 2017;30:4765-4774. Available from: https://proceedings.neurips.cc/paper/2017/hash/8a20a8621978632d76c43dfd28b67767-Abstract.html</w:t>
      </w:r>
    </w:p>
    <w:p>
      <w:pPr>
        <w:pStyle w:val="ListNumber"/>
      </w:pPr>
      <w:r>
        <w:rPr>
          <w:rFonts w:ascii="Times New Roman" w:hAnsi="Times New Roman"/>
          <w:b w:val="0"/>
          <w:i w:val="0"/>
          <w:sz w:val="20"/>
        </w:rPr>
        <w:t>Chen EY, Tan CM, Kou Y, et al. Enrichr: interactive and collaborative HTML5 gene list enrichment analysis tool. BMC Bioinformatics. 2013;14:128. DOI: 10.1186/1471-2105-14-128. PMID: 23586463.</w:t>
      </w:r>
    </w:p>
    <w:p>
      <w:r>
        <w:br w:type="page"/>
      </w:r>
    </w:p>
    <w:p>
      <w:pPr>
        <w:pStyle w:val="Heading1"/>
      </w:pPr>
      <w:r>
        <w:t>AUTHOR CONTRIBUTIONS</w:t>
      </w:r>
    </w:p>
    <w:p>
      <w:r>
        <w:rPr>
          <w:rFonts w:ascii="Times New Roman" w:hAnsi="Times New Roman"/>
          <w:b w:val="0"/>
          <w:i w:val="0"/>
          <w:sz w:val="24"/>
        </w:rPr>
        <w:t>Siddalingaiah H S: Conceptualization, Data Curation, Formal Analysis, Investigation, Methodology, Project Administration, Resources, Software, Validation, Visualization, Writing – Original Draft, Writing – Review &amp; Editing.</w:t>
      </w:r>
    </w:p>
    <w:p>
      <w:pPr>
        <w:pStyle w:val="Heading1"/>
      </w:pPr>
      <w:r>
        <w:t>FUNDING</w:t>
      </w:r>
    </w:p>
    <w:p>
      <w:r>
        <w:rPr>
          <w:rFonts w:ascii="Times New Roman" w:hAnsi="Times New Roman"/>
          <w:b w:val="0"/>
          <w:i w:val="0"/>
          <w:sz w:val="24"/>
        </w:rPr>
        <w:t>This research received no specific grant from any funding agency in the public, commercial, or not-for-profit sectors.</w:t>
      </w:r>
    </w:p>
    <w:p>
      <w:pPr>
        <w:pStyle w:val="Heading1"/>
      </w:pPr>
      <w:r>
        <w:t>CONFLICTS OF INTEREST</w:t>
      </w:r>
    </w:p>
    <w:p>
      <w:r>
        <w:rPr>
          <w:rFonts w:ascii="Times New Roman" w:hAnsi="Times New Roman"/>
          <w:b w:val="0"/>
          <w:i w:val="0"/>
          <w:sz w:val="24"/>
        </w:rPr>
        <w:t>The author declares no competing financial or non-financial interests.</w:t>
      </w:r>
    </w:p>
    <w:p>
      <w:pPr>
        <w:pStyle w:val="Heading1"/>
      </w:pPr>
      <w:r>
        <w:t>DATA AVAILABILITY STATEMENT</w:t>
      </w:r>
    </w:p>
    <w:p>
      <w:r>
        <w:rPr>
          <w:rFonts w:ascii="Times New Roman" w:hAnsi="Times New Roman"/>
          <w:b/>
          <w:i w:val="0"/>
          <w:sz w:val="24"/>
        </w:rPr>
        <w:t xml:space="preserve">Data: </w:t>
      </w:r>
      <w:r>
        <w:rPr>
          <w:rFonts w:ascii="Times New Roman" w:hAnsi="Times New Roman"/>
          <w:b w:val="0"/>
          <w:i w:val="0"/>
          <w:sz w:val="24"/>
        </w:rPr>
        <w:t>All data are publicly available from the Gene Expression Omnibus (GEO) under accession number GSE89403 (https://www.ncbi.nlm.nih.gov/geo/query/acc.cgi?acc=GSE89403).</w:t>
      </w:r>
    </w:p>
    <w:p>
      <w:r>
        <w:rPr>
          <w:rFonts w:ascii="Times New Roman" w:hAnsi="Times New Roman"/>
          <w:b/>
          <w:i w:val="0"/>
          <w:sz w:val="24"/>
        </w:rPr>
        <w:t xml:space="preserve">Code: </w:t>
      </w:r>
      <w:r>
        <w:rPr>
          <w:rFonts w:ascii="Times New Roman" w:hAnsi="Times New Roman"/>
          <w:b w:val="0"/>
          <w:i w:val="0"/>
          <w:sz w:val="24"/>
        </w:rPr>
        <w:t>All analysis code, trained models, and documentation are available at https://github.com/hssling/TB_Treatment_Failure_Prediction_by_Transcriptomics under MIT open-source license.</w:t>
      </w:r>
    </w:p>
    <w:p>
      <w:r>
        <w:rPr>
          <w:rFonts w:ascii="Times New Roman" w:hAnsi="Times New Roman"/>
          <w:b/>
          <w:i w:val="0"/>
          <w:sz w:val="24"/>
        </w:rPr>
        <w:t xml:space="preserve">Reproducibility: </w:t>
      </w:r>
      <w:r>
        <w:rPr>
          <w:rFonts w:ascii="Times New Roman" w:hAnsi="Times New Roman"/>
          <w:b w:val="0"/>
          <w:i w:val="0"/>
          <w:sz w:val="24"/>
        </w:rPr>
        <w:t>Complete pipeline with version control (v1.0.0), continuous integration/continuous deployment (CI/CD) workflows, and detailed documentation are provided in the GitHub repository.</w:t>
      </w:r>
    </w:p>
    <w:p>
      <w:pPr>
        <w:pStyle w:val="Heading1"/>
      </w:pPr>
      <w:r>
        <w:t>ACKNOWLEDGMENTS</w:t>
      </w:r>
    </w:p>
    <w:p>
      <w:r>
        <w:rPr>
          <w:rFonts w:ascii="Times New Roman" w:hAnsi="Times New Roman"/>
          <w:b w:val="0"/>
          <w:i w:val="0"/>
          <w:sz w:val="24"/>
        </w:rPr>
        <w:t>The author thanks the Berry laboratory and the original GSE89403 study participants for making their data publicly available. The author acknowledges the use of computational resources at Shridevi Institute of Medical Sciences and Research Hospital.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