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30"/>
        </w:rPr>
        <w:t>Response to Reviewers</w:t>
      </w:r>
    </w:p>
    <w:p>
      <w:pPr>
        <w:spacing w:after="80"/>
        <w:jc w:val="center"/>
      </w:pPr>
      <w:r>
        <w:rPr>
          <w:b w:val="0"/>
          <w:i/>
          <w:sz w:val="21"/>
        </w:rPr>
        <w:t>Manuscript: Whole-blood transcriptomic signatures of unfavourable tuberculosis treatment outcome before and during therapy: an exploratory machine-learning and immune-deconvolution study</w:t>
      </w:r>
    </w:p>
    <w:p>
      <w:pPr>
        <w:spacing w:after="280"/>
        <w:jc w:val="center"/>
      </w:pPr>
      <w:r>
        <w:rPr>
          <w:b w:val="0"/>
          <w:i w:val="0"/>
          <w:sz w:val="21"/>
        </w:rPr>
        <w:t>Journal: Discover Artificial Intelligence</w:t>
      </w:r>
    </w:p>
    <w:p>
      <w:pPr>
        <w:spacing w:after="160"/>
        <w:jc w:val="both"/>
      </w:pPr>
      <w:r>
        <w:rPr>
          <w:b w:val="0"/>
          <w:i w:val="0"/>
          <w:sz w:val="21"/>
        </w:rPr>
        <w:t>We thank the editor and the three reviewers for a demanding and genuinely constructive assessment. Two criticisms went to the heart of the work: that pre-treatment and post-treatment samples describe distinct biological states and should not be pooled, and that a model performing near chance cannot support downstream interpretation. Both were correct, and addressing them properly required returning to the primary data rather than editing the previous text.</w:t>
      </w:r>
    </w:p>
    <w:p>
      <w:pPr>
        <w:spacing w:after="160"/>
        <w:jc w:val="both"/>
      </w:pPr>
      <w:r>
        <w:rPr>
          <w:b w:val="0"/>
          <w:i w:val="0"/>
          <w:sz w:val="21"/>
        </w:rPr>
        <w:t>In doing so we found that the sample matrix underlying the previous submission was an incomplete extract of the deposited study. It contained on-treatment samples for patients who were cured but not for those who were not, which is precisely why pooling appeared to help and why the previous analysis could only examine the pre-treatment state. Rebuilding from the complete deposit recovered the missing samples and made the reviewers' preferred design possible. The manuscript now reports each biological state separately and then compares them, exactly as Reviewer 1 proposed.</w:t>
      </w:r>
    </w:p>
    <w:p>
      <w:pPr>
        <w:spacing w:after="160"/>
        <w:jc w:val="both"/>
      </w:pPr>
      <w:r>
        <w:rPr>
          <w:b w:val="0"/>
          <w:i w:val="0"/>
          <w:sz w:val="21"/>
        </w:rPr>
        <w:t>The consequences are substantial. Discrimination before treatment remains modest and is reported as an honest negative result (0.65 (95% CI 0.34–0.89), permutation p = 0.182, no gene surviving false-discovery correction), and the same holds at day 7 and week 4. At the end of therapy it is strong (0.93 (95% CI 0.81–1.00), permutation p = 0.006, 5,924 genes significant after false-discovery correction), and consistent across all three classifiers.</w:t>
      </w:r>
    </w:p>
    <w:p>
      <w:pPr>
        <w:spacing w:after="160"/>
        <w:jc w:val="both"/>
      </w:pPr>
      <w:r>
        <w:rPr>
          <w:b w:val="0"/>
          <w:i w:val="0"/>
          <w:sz w:val="21"/>
        </w:rPr>
        <w:t>We also acted on Reviewer 3's request for validation beyond a single study, and we should state its outcome plainly at the outset: the signature did not transfer. In an independent cohort (GSE67589, 20 patients, different country, platform and outcome definition) discrimination was indistinguishable from chance and no cell-composition contrast reached significance. We report this as a failure to generalise rather than presenting it as inconclusive, and we have revised the title, abstract, discussion and limitations so that no claim of generalisation survives anywhere in the manuscript. We recognise this weakens the paper's reach. We judged that reporting it was preferable to omitting a test the reviewer specifically requested.</w:t>
      </w:r>
    </w:p>
    <w:p>
      <w:pPr>
        <w:spacing w:after="160"/>
        <w:jc w:val="both"/>
      </w:pPr>
      <w:r>
        <w:rPr>
          <w:b w:val="0"/>
          <w:i w:val="0"/>
          <w:sz w:val="21"/>
        </w:rPr>
        <w:t>Two further analyses were added because the reviewers' framing implied them, and both changed what we can claim. First, every arm was scored with four published signatures of active tuberculosis applied without fitting. These reproduce the week-24 result at a higher significance than our own models reach, which is much stronger evidence than internal cross-validation — but they also match or exceed our fitted classifiers in every arm, so we now state plainly that the machine learning added no predictive value over a three-gene published score. Second, a within-subject analysis of paired samples shows that the change from diagnosis discriminates far less well than the week-24 state itself, so we no longer attribute the separation to differential resolution under treatment.</w:t>
      </w:r>
    </w:p>
    <w:p>
      <w:pPr>
        <w:spacing w:after="280"/>
        <w:jc w:val="both"/>
      </w:pPr>
      <w:r>
        <w:rPr>
          <w:b w:val="0"/>
          <w:i w:val="0"/>
          <w:sz w:val="21"/>
        </w:rPr>
        <w:t>Every methodological query has been resolved, a study flow diagram has been added, and all dialogue with reviewers has been removed from the manuscript body and confined to this letter.</w:t>
      </w:r>
    </w:p>
    <w:p>
      <w:pPr>
        <w:pStyle w:val="Heading1"/>
      </w:pPr>
      <w:r>
        <w:t>Summary of principal changes</w:t>
      </w:r>
    </w:p>
    <w:p>
      <w:pPr>
        <w:spacing w:after="80"/>
        <w:jc w:val="both"/>
      </w:pPr>
      <w:r>
        <w:rPr>
          <w:b w:val="0"/>
          <w:i w:val="0"/>
          <w:sz w:val="20"/>
        </w:rPr>
        <w:t>1. The complete GSE89403 deposit was reprocessed. The analysis now uses 367 samples from 98 subjects across four timepoints, in place of the previous partial extract.</w:t>
      </w:r>
    </w:p>
    <w:p>
      <w:pPr>
        <w:spacing w:after="80"/>
        <w:jc w:val="both"/>
      </w:pPr>
      <w:r>
        <w:rPr>
          <w:b w:val="0"/>
          <w:i w:val="0"/>
          <w:sz w:val="20"/>
        </w:rPr>
        <w:t>2. The study is structured as separate pre-treatment and post-treatment arms followed by a comparative section, with the pooled analysis retained for contrast only and carrying no predictive claim.</w:t>
      </w:r>
    </w:p>
    <w:p>
      <w:pPr>
        <w:spacing w:after="80"/>
        <w:jc w:val="both"/>
      </w:pPr>
      <w:r>
        <w:rPr>
          <w:b w:val="0"/>
          <w:i w:val="0"/>
          <w:sz w:val="20"/>
        </w:rPr>
        <w:t>3. Sensitivity, specificity and predictive values are reported for both outcome classes in every arm, alongside ROC-AUC and precision–recall AUC.</w:t>
      </w:r>
    </w:p>
    <w:p>
      <w:pPr>
        <w:spacing w:after="80"/>
        <w:jc w:val="both"/>
      </w:pPr>
      <w:r>
        <w:rPr>
          <w:b w:val="0"/>
          <w:i w:val="0"/>
          <w:sz w:val="20"/>
        </w:rPr>
        <w:t>4. A study flow diagram has been added as Figure 1.</w:t>
      </w:r>
    </w:p>
    <w:p>
      <w:pPr>
        <w:spacing w:after="80"/>
        <w:jc w:val="both"/>
      </w:pPr>
      <w:r>
        <w:rPr>
          <w:b w:val="0"/>
          <w:i w:val="0"/>
          <w:sz w:val="20"/>
        </w:rPr>
        <w:t>5. The model used for SHAP attribution is named explicitly, and the choice of gradient boosting is justified and supported by a benchmark of all three classifiers in every arm.</w:t>
      </w:r>
    </w:p>
    <w:p>
      <w:pPr>
        <w:spacing w:after="80"/>
        <w:jc w:val="both"/>
      </w:pPr>
      <w:r>
        <w:rPr>
          <w:b w:val="0"/>
          <w:i w:val="0"/>
          <w:sz w:val="20"/>
        </w:rPr>
        <w:t>6. SHAP interpretation and pathway enrichment on the top-ranked features now appear in the main text as Figure 3 and Table 3.</w:t>
      </w:r>
    </w:p>
    <w:p>
      <w:pPr>
        <w:spacing w:after="80"/>
        <w:jc w:val="both"/>
      </w:pPr>
      <w:r>
        <w:rPr>
          <w:b w:val="0"/>
          <w:i w:val="0"/>
          <w:sz w:val="20"/>
        </w:rPr>
        <w:t>7. The conditional-dependency network is now estimated on the SHAP-derived feature panel, with its rationale and its relationship to the other analyses stated.</w:t>
      </w:r>
    </w:p>
    <w:p>
      <w:pPr>
        <w:spacing w:after="80"/>
        <w:jc w:val="both"/>
      </w:pPr>
      <w:r>
        <w:rPr>
          <w:b w:val="0"/>
          <w:i w:val="0"/>
          <w:sz w:val="20"/>
        </w:rPr>
        <w:t>8. The figure relating predicted probability to neutrophil and T-cell scores has been reinstated as Figure 5.</w:t>
      </w:r>
    </w:p>
    <w:p>
      <w:pPr>
        <w:spacing w:after="80"/>
        <w:jc w:val="both"/>
      </w:pPr>
      <w:r>
        <w:rPr>
          <w:b w:val="0"/>
          <w:i w:val="0"/>
          <w:sz w:val="20"/>
        </w:rPr>
        <w:t>9. An independent cohort (GSE67589) has been tested and is reported as Figure 7 and Table 4. The signature did not transfer, and the manuscript states this as a negative result.</w:t>
      </w:r>
    </w:p>
    <w:p>
      <w:pPr>
        <w:spacing w:after="80"/>
        <w:jc w:val="both"/>
      </w:pPr>
      <w:r>
        <w:rPr>
          <w:b w:val="0"/>
          <w:i w:val="0"/>
          <w:sz w:val="20"/>
        </w:rPr>
        <w:t>10. All comparative and defensive phrasing, including any claim about precedence in the field, has been removed. The manuscript now reads as a self-contained account of the work.</w:t>
      </w:r>
    </w:p>
    <w:p>
      <w:pPr>
        <w:spacing w:after="80"/>
        <w:jc w:val="both"/>
      </w:pPr>
      <w:r>
        <w:rPr>
          <w:b w:val="0"/>
          <w:i w:val="0"/>
          <w:sz w:val="20"/>
        </w:rPr>
        <w:t>11. The text has been rewritten throughout for clarity and concision.</w:t>
      </w:r>
    </w:p>
    <w:p/>
    <w:p>
      <w:pPr>
        <w:pStyle w:val="Heading1"/>
      </w:pPr>
      <w:r>
        <w:t>Reviewer 1</w:t>
      </w:r>
    </w:p>
    <w:p>
      <w:pPr>
        <w:spacing w:after="120"/>
        <w:jc w:val="both"/>
      </w:pPr>
      <w:r>
        <w:rPr>
          <w:b/>
          <w:i w:val="0"/>
          <w:sz w:val="22"/>
        </w:rPr>
        <w:t>Section A — Conceptual clarity on study design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576"/>
          </w:tcPr>
          <w:p>
            <w:r/>
            <w:r>
              <w:rPr>
                <w:b/>
                <w:sz w:val="19"/>
              </w:rPr>
              <w:t>#</w:t>
            </w:r>
          </w:p>
        </w:tc>
        <w:tc>
          <w:tcPr>
            <w:tcW w:type="dxa" w:w="3384"/>
          </w:tcPr>
          <w:p>
            <w:r/>
            <w:r>
              <w:rPr>
                <w:b/>
                <w:sz w:val="19"/>
              </w:rPr>
              <w:t>Reviewer comment</w:t>
            </w:r>
          </w:p>
        </w:tc>
        <w:tc>
          <w:tcPr>
            <w:tcW w:type="dxa" w:w="4968"/>
          </w:tcPr>
          <w:p>
            <w:r/>
            <w:r>
              <w:rPr>
                <w:b/>
                <w:sz w:val="19"/>
              </w:rPr>
              <w:t>Author response</w:t>
            </w:r>
          </w:p>
        </w:tc>
        <w:tc>
          <w:tcPr>
            <w:tcW w:type="dxa" w:w="2016"/>
          </w:tcPr>
          <w:p>
            <w:r/>
            <w:r>
              <w:rPr>
                <w:b/>
                <w:sz w:val="19"/>
              </w:rPr>
              <w:t>Location in the revised manuscript</w:t>
            </w:r>
          </w:p>
        </w:tc>
      </w:tr>
      <w:tr>
        <w:tc>
          <w:tcPr>
            <w:tcW w:type="dxa" w:w="576"/>
          </w:tcPr>
          <w:p>
            <w:pPr>
              <w:jc w:val="left"/>
            </w:pPr>
            <w:r/>
            <w:r>
              <w:rPr>
                <w:i w:val="0"/>
                <w:sz w:val="18"/>
              </w:rPr>
              <w:t>A1</w:t>
            </w:r>
          </w:p>
        </w:tc>
        <w:tc>
          <w:tcPr>
            <w:tcW w:type="dxa" w:w="3384"/>
          </w:tcPr>
          <w:p>
            <w:pPr>
              <w:jc w:val="left"/>
            </w:pPr>
            <w:r/>
            <w:r>
              <w:rPr>
                <w:i/>
                <w:color w:val="444444"/>
                <w:sz w:val="18"/>
              </w:rPr>
              <w:t>Pooling baseline and post-treatment samples together for predictive modelling combines two biologically distinct states, which undermines the validity of any predictive claim. Separating them was therefore the right approach.</w:t>
            </w:r>
          </w:p>
        </w:tc>
        <w:tc>
          <w:tcPr>
            <w:tcW w:type="dxa" w:w="4968"/>
          </w:tcPr>
          <w:p>
            <w:pPr>
              <w:jc w:val="left"/>
            </w:pPr>
            <w:r/>
            <w:r>
              <w:rPr>
                <w:i w:val="0"/>
                <w:sz w:val="18"/>
              </w:rPr>
              <w:t>We agree, and the manuscript is now built on that principle. Each timepoint is analysed as a separate arm under one identical preprocessing and modelling protocol, so differences between arms reflect biology rather than pipeline variation. The pooled analysis is retained only as a contrast and is explicitly described as describing neither state.</w:t>
            </w:r>
          </w:p>
        </w:tc>
        <w:tc>
          <w:tcPr>
            <w:tcW w:type="dxa" w:w="2016"/>
          </w:tcPr>
          <w:p>
            <w:pPr>
              <w:jc w:val="left"/>
            </w:pPr>
            <w:r/>
            <w:r>
              <w:rPr>
                <w:i w:val="0"/>
                <w:sz w:val="18"/>
              </w:rPr>
              <w:t>Sections 2.2, 3.3; Table 1; Figure 1</w:t>
            </w:r>
          </w:p>
        </w:tc>
      </w:tr>
      <w:tr>
        <w:tc>
          <w:tcPr>
            <w:tcW w:type="dxa" w:w="576"/>
          </w:tcPr>
          <w:p>
            <w:pPr>
              <w:jc w:val="left"/>
            </w:pPr>
            <w:r/>
            <w:r>
              <w:rPr>
                <w:i w:val="0"/>
                <w:sz w:val="18"/>
              </w:rPr>
              <w:t>A2</w:t>
            </w:r>
          </w:p>
        </w:tc>
        <w:tc>
          <w:tcPr>
            <w:tcW w:type="dxa" w:w="3384"/>
          </w:tcPr>
          <w:p>
            <w:pPr>
              <w:jc w:val="left"/>
            </w:pPr>
            <w:r/>
            <w:r>
              <w:rPr>
                <w:i/>
                <w:color w:val="444444"/>
                <w:sz w:val="18"/>
              </w:rPr>
              <w:t>The reduced significance observed at baseline is not a limitation to be corrected — it is an honest reflection of the data and should be reported as such.</w:t>
            </w:r>
          </w:p>
        </w:tc>
        <w:tc>
          <w:tcPr>
            <w:tcW w:type="dxa" w:w="4968"/>
          </w:tcPr>
          <w:p>
            <w:pPr>
              <w:jc w:val="left"/>
            </w:pPr>
            <w:r/>
            <w:r>
              <w:rPr>
                <w:i w:val="0"/>
                <w:sz w:val="18"/>
              </w:rPr>
              <w:t>The pre-treatment result is now reported plainly as a negative finding rather than framed apologetically: 0.65 (95% CI 0.34–0.89), permutation p = 0.182, and no gene surviving false-discovery correction. Section 3.2 closes by stating that pre-treatment blood does not support risk stratification in a cohort of this size.</w:t>
            </w:r>
          </w:p>
        </w:tc>
        <w:tc>
          <w:tcPr>
            <w:tcW w:type="dxa" w:w="2016"/>
          </w:tcPr>
          <w:p>
            <w:pPr>
              <w:jc w:val="left"/>
            </w:pPr>
            <w:r/>
            <w:r>
              <w:rPr>
                <w:i w:val="0"/>
                <w:sz w:val="18"/>
              </w:rPr>
              <w:t>Section 3.2</w:t>
            </w:r>
          </w:p>
        </w:tc>
      </w:tr>
      <w:tr>
        <w:tc>
          <w:tcPr>
            <w:tcW w:type="dxa" w:w="576"/>
          </w:tcPr>
          <w:p>
            <w:pPr>
              <w:jc w:val="left"/>
            </w:pPr>
            <w:r/>
            <w:r>
              <w:rPr>
                <w:i w:val="0"/>
                <w:sz w:val="18"/>
              </w:rPr>
              <w:t>A3</w:t>
            </w:r>
          </w:p>
        </w:tc>
        <w:tc>
          <w:tcPr>
            <w:tcW w:type="dxa" w:w="3384"/>
          </w:tcPr>
          <w:p>
            <w:pPr>
              <w:jc w:val="left"/>
            </w:pPr>
            <w:r/>
            <w:r>
              <w:rPr>
                <w:i/>
                <w:color w:val="444444"/>
                <w:sz w:val="18"/>
              </w:rPr>
              <w:t>The post-treatment data need not be set aside. One option is to frame the study as exploratory: reporting baseline and post-treatment findings separately, then bringing them together in a final comparative section.</w:t>
            </w:r>
          </w:p>
        </w:tc>
        <w:tc>
          <w:tcPr>
            <w:tcW w:type="dxa" w:w="4968"/>
          </w:tcPr>
          <w:p>
            <w:pPr>
              <w:jc w:val="left"/>
            </w:pPr>
            <w:r/>
            <w:r>
              <w:rPr>
                <w:i w:val="0"/>
                <w:sz w:val="18"/>
              </w:rPr>
              <w:t>This is the structure we have adopted. Sections 3.2 and 3.3 report the pre-treatment and post-treatment states in turn, and Section 3.8 brings them together. Recovering the missing on-treatment samples made this possible: discrimination rises to 0.93 (95% CI 0.81–1.00) at the end of therapy with 5,924 genes significant after false-discovery correction.</w:t>
            </w:r>
          </w:p>
        </w:tc>
        <w:tc>
          <w:tcPr>
            <w:tcW w:type="dxa" w:w="2016"/>
          </w:tcPr>
          <w:p>
            <w:pPr>
              <w:jc w:val="left"/>
            </w:pPr>
            <w:r/>
            <w:r>
              <w:rPr>
                <w:i w:val="0"/>
                <w:sz w:val="18"/>
              </w:rPr>
              <w:t>Sections 3.2, 3.3, 3.8; Figure 8</w:t>
            </w:r>
          </w:p>
        </w:tc>
      </w:tr>
      <w:tr>
        <w:tc>
          <w:tcPr>
            <w:tcW w:type="dxa" w:w="576"/>
          </w:tcPr>
          <w:p>
            <w:pPr>
              <w:jc w:val="left"/>
            </w:pPr>
            <w:r/>
            <w:r>
              <w:rPr>
                <w:i w:val="0"/>
                <w:sz w:val="18"/>
              </w:rPr>
              <w:t>A4</w:t>
            </w:r>
          </w:p>
        </w:tc>
        <w:tc>
          <w:tcPr>
            <w:tcW w:type="dxa" w:w="3384"/>
          </w:tcPr>
          <w:p>
            <w:pPr>
              <w:jc w:val="left"/>
            </w:pPr>
            <w:r/>
            <w:r>
              <w:rPr>
                <w:i/>
                <w:color w:val="444444"/>
                <w:sz w:val="18"/>
              </w:rPr>
              <w:t>Each arm carries a distinct biological meaning: pre-treatment reflects intrinsic patient biology; post-treatment reflects treatment-induced immune shifts, capturing who responds and who fails, and what a good response is; combined serves contrast only.</w:t>
            </w:r>
          </w:p>
        </w:tc>
        <w:tc>
          <w:tcPr>
            <w:tcW w:type="dxa" w:w="4968"/>
          </w:tcPr>
          <w:p>
            <w:pPr>
              <w:jc w:val="left"/>
            </w:pPr>
            <w:r/>
            <w:r>
              <w:rPr>
                <w:i w:val="0"/>
                <w:sz w:val="18"/>
              </w:rPr>
              <w:t>These meanings are now stated where each arm is introduced and carried through the interpretation. We also make explicit a consequence the reviewer's framing brings out: because outcome is ascertained at approximately the end of therapy, the week-24 result describes a concurrent state of unresolved immune activation rather than a forecast. It is presented as a treatment-response signal, not as prediction.</w:t>
            </w:r>
          </w:p>
        </w:tc>
        <w:tc>
          <w:tcPr>
            <w:tcW w:type="dxa" w:w="2016"/>
          </w:tcPr>
          <w:p>
            <w:pPr>
              <w:jc w:val="left"/>
            </w:pPr>
            <w:r/>
            <w:r>
              <w:rPr>
                <w:i w:val="0"/>
                <w:sz w:val="18"/>
              </w:rPr>
              <w:t>Sections 2.2, 3.3, 4</w:t>
            </w:r>
          </w:p>
        </w:tc>
      </w:tr>
      <w:tr>
        <w:tc>
          <w:tcPr>
            <w:tcW w:type="dxa" w:w="576"/>
          </w:tcPr>
          <w:p>
            <w:pPr>
              <w:jc w:val="left"/>
            </w:pPr>
            <w:r/>
            <w:r>
              <w:rPr>
                <w:i w:val="0"/>
                <w:sz w:val="18"/>
              </w:rPr>
              <w:t>A5</w:t>
            </w:r>
          </w:p>
        </w:tc>
        <w:tc>
          <w:tcPr>
            <w:tcW w:type="dxa" w:w="3384"/>
          </w:tcPr>
          <w:p>
            <w:pPr>
              <w:jc w:val="left"/>
            </w:pPr>
            <w:r/>
            <w:r>
              <w:rPr>
                <w:i/>
                <w:color w:val="444444"/>
                <w:sz w:val="18"/>
              </w:rPr>
              <w:t>Which biological signals are stable across timepoints, which emerge only post-treatment, and what this tells us about mechanism.</w:t>
            </w:r>
          </w:p>
        </w:tc>
        <w:tc>
          <w:tcPr>
            <w:tcW w:type="dxa" w:w="4968"/>
          </w:tcPr>
          <w:p>
            <w:pPr>
              <w:jc w:val="left"/>
            </w:pPr>
            <w:r/>
            <w:r>
              <w:rPr>
                <w:i w:val="0"/>
                <w:sz w:val="18"/>
              </w:rPr>
              <w:t>Section 3.8 partitions the genes that separate outcome groups into those acting only before treatment (71), in both states (277), and only after treatment begins (4762). The outcome signal is overwhelmingly a property of the treated state. The immune axis itself is stable in direction across all states and grows in magnitude as therapy proceeds.</w:t>
            </w:r>
          </w:p>
        </w:tc>
        <w:tc>
          <w:tcPr>
            <w:tcW w:type="dxa" w:w="2016"/>
          </w:tcPr>
          <w:p>
            <w:pPr>
              <w:jc w:val="left"/>
            </w:pPr>
            <w:r/>
            <w:r>
              <w:rPr>
                <w:i w:val="0"/>
                <w:sz w:val="18"/>
              </w:rPr>
              <w:t>Section 3.8; Figure 8C, 8D</w:t>
            </w:r>
          </w:p>
        </w:tc>
      </w:tr>
    </w:tbl>
    <w:p/>
    <w:p>
      <w:pPr>
        <w:spacing w:after="120"/>
        <w:jc w:val="both"/>
      </w:pPr>
      <w:r>
        <w:rPr>
          <w:b/>
          <w:i w:val="0"/>
          <w:sz w:val="22"/>
        </w:rPr>
        <w:t>Section B — Methodology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576"/>
          </w:tcPr>
          <w:p>
            <w:r/>
            <w:r>
              <w:rPr>
                <w:b/>
                <w:sz w:val="19"/>
              </w:rPr>
              <w:t>#</w:t>
            </w:r>
          </w:p>
        </w:tc>
        <w:tc>
          <w:tcPr>
            <w:tcW w:type="dxa" w:w="3384"/>
          </w:tcPr>
          <w:p>
            <w:r/>
            <w:r>
              <w:rPr>
                <w:b/>
                <w:sz w:val="19"/>
              </w:rPr>
              <w:t>Reviewer comment</w:t>
            </w:r>
          </w:p>
        </w:tc>
        <w:tc>
          <w:tcPr>
            <w:tcW w:type="dxa" w:w="4968"/>
          </w:tcPr>
          <w:p>
            <w:r/>
            <w:r>
              <w:rPr>
                <w:b/>
                <w:sz w:val="19"/>
              </w:rPr>
              <w:t>Author response</w:t>
            </w:r>
          </w:p>
        </w:tc>
        <w:tc>
          <w:tcPr>
            <w:tcW w:type="dxa" w:w="2016"/>
          </w:tcPr>
          <w:p>
            <w:r/>
            <w:r>
              <w:rPr>
                <w:b/>
                <w:sz w:val="19"/>
              </w:rPr>
              <w:t>Location in the revised manuscript</w:t>
            </w:r>
          </w:p>
        </w:tc>
      </w:tr>
      <w:tr>
        <w:tc>
          <w:tcPr>
            <w:tcW w:type="dxa" w:w="576"/>
          </w:tcPr>
          <w:p>
            <w:pPr>
              <w:jc w:val="left"/>
            </w:pPr>
            <w:r/>
            <w:r>
              <w:rPr>
                <w:i w:val="0"/>
                <w:sz w:val="18"/>
              </w:rPr>
              <w:t>B0</w:t>
            </w:r>
          </w:p>
        </w:tc>
        <w:tc>
          <w:tcPr>
            <w:tcW w:type="dxa" w:w="3384"/>
          </w:tcPr>
          <w:p>
            <w:pPr>
              <w:jc w:val="left"/>
            </w:pPr>
            <w:r/>
            <w:r>
              <w:rPr>
                <w:i/>
                <w:color w:val="444444"/>
                <w:sz w:val="18"/>
              </w:rPr>
              <w:t>A methodological flowchart is recommended for clarity.</w:t>
            </w:r>
          </w:p>
        </w:tc>
        <w:tc>
          <w:tcPr>
            <w:tcW w:type="dxa" w:w="4968"/>
          </w:tcPr>
          <w:p>
            <w:pPr>
              <w:jc w:val="left"/>
            </w:pPr>
            <w:r/>
            <w:r>
              <w:rPr>
                <w:i w:val="0"/>
                <w:sz w:val="18"/>
              </w:rPr>
              <w:t>A study flow diagram has been added as Figure 1. It traces cohort assembly from the 914 deposited libraries to the analysed samples, sets out the four arms with their sizes and biological meaning, and shows the common modelling protocol and the verification of model-derived features against deconvolution, differential expression, network estimation and the independent cohort.</w:t>
            </w:r>
          </w:p>
        </w:tc>
        <w:tc>
          <w:tcPr>
            <w:tcW w:type="dxa" w:w="2016"/>
          </w:tcPr>
          <w:p>
            <w:pPr>
              <w:jc w:val="left"/>
            </w:pPr>
            <w:r/>
            <w:r>
              <w:rPr>
                <w:i w:val="0"/>
                <w:sz w:val="18"/>
              </w:rPr>
              <w:t>Figure 1</w:t>
            </w:r>
          </w:p>
        </w:tc>
      </w:tr>
      <w:tr>
        <w:tc>
          <w:tcPr>
            <w:tcW w:type="dxa" w:w="576"/>
          </w:tcPr>
          <w:p>
            <w:pPr>
              <w:jc w:val="left"/>
            </w:pPr>
            <w:r/>
            <w:r>
              <w:rPr>
                <w:i w:val="0"/>
                <w:sz w:val="18"/>
              </w:rPr>
              <w:t>B1</w:t>
            </w:r>
          </w:p>
        </w:tc>
        <w:tc>
          <w:tcPr>
            <w:tcW w:type="dxa" w:w="3384"/>
          </w:tcPr>
          <w:p>
            <w:pPr>
              <w:jc w:val="left"/>
            </w:pPr>
            <w:r/>
            <w:r>
              <w:rPr>
                <w:i/>
                <w:color w:val="444444"/>
                <w:sz w:val="18"/>
              </w:rPr>
              <w:t>State which model was used to derive SHAP values and justify the selection of gradient boosting over alternatives.</w:t>
            </w:r>
          </w:p>
        </w:tc>
        <w:tc>
          <w:tcPr>
            <w:tcW w:type="dxa" w:w="4968"/>
          </w:tcPr>
          <w:p>
            <w:pPr>
              <w:jc w:val="left"/>
            </w:pPr>
            <w:r/>
            <w:r>
              <w:rPr>
                <w:i w:val="0"/>
                <w:sz w:val="18"/>
              </w:rPr>
              <w:t>Section 2.6 states that SHAP values come from the gradient-boosted model via TreeExplainer, and gives the reason: TreeExplainer returns exact Shapley values for additive tree ensembles rather than a sampled approximation, and gradient boosting captures non-additive structure that a linear model cannot. So that the choice can be judged rather than assumed, discrimination for all three classifiers is reported in every arm in Table 2 and in the supplementary benchmark.</w:t>
            </w:r>
          </w:p>
        </w:tc>
        <w:tc>
          <w:tcPr>
            <w:tcW w:type="dxa" w:w="2016"/>
          </w:tcPr>
          <w:p>
            <w:pPr>
              <w:jc w:val="left"/>
            </w:pPr>
            <w:r/>
            <w:r>
              <w:rPr>
                <w:i w:val="0"/>
                <w:sz w:val="18"/>
              </w:rPr>
              <w:t>Section 2.6; Table 2; Supplementary Table S3</w:t>
            </w:r>
          </w:p>
        </w:tc>
      </w:tr>
      <w:tr>
        <w:tc>
          <w:tcPr>
            <w:tcW w:type="dxa" w:w="576"/>
          </w:tcPr>
          <w:p>
            <w:pPr>
              <w:jc w:val="left"/>
            </w:pPr>
            <w:r/>
            <w:r>
              <w:rPr>
                <w:i w:val="0"/>
                <w:sz w:val="18"/>
              </w:rPr>
              <w:t>B2</w:t>
            </w:r>
          </w:p>
        </w:tc>
        <w:tc>
          <w:tcPr>
            <w:tcW w:type="dxa" w:w="3384"/>
          </w:tcPr>
          <w:p>
            <w:pPr>
              <w:jc w:val="left"/>
            </w:pPr>
            <w:r/>
            <w:r>
              <w:rPr>
                <w:i/>
                <w:color w:val="444444"/>
                <w:sz w:val="18"/>
              </w:rPr>
              <w:t>SHAP feature interpretation and pathway enrichment on top-ranked features should be reported in the main manuscript.</w:t>
            </w:r>
          </w:p>
        </w:tc>
        <w:tc>
          <w:tcPr>
            <w:tcW w:type="dxa" w:w="4968"/>
          </w:tcPr>
          <w:p>
            <w:pPr>
              <w:jc w:val="left"/>
            </w:pPr>
            <w:r/>
            <w:r>
              <w:rPr>
                <w:i w:val="0"/>
                <w:sz w:val="18"/>
              </w:rPr>
              <w:t>Both are now in the main text. Figure 3 shows the ranked attribution panel for each arm with the direction of each association, and Table 3 reports pathway over-representation computed on those same panels. Running enrichment on the attribution ranking rather than on a separate list means the pathways described are the ones the classifier actually drew on.</w:t>
            </w:r>
          </w:p>
        </w:tc>
        <w:tc>
          <w:tcPr>
            <w:tcW w:type="dxa" w:w="2016"/>
          </w:tcPr>
          <w:p>
            <w:pPr>
              <w:jc w:val="left"/>
            </w:pPr>
            <w:r/>
            <w:r>
              <w:rPr>
                <w:i w:val="0"/>
                <w:sz w:val="18"/>
              </w:rPr>
              <w:t>Sections 2.7, 3.4; Figure 3; Table 3</w:t>
            </w:r>
          </w:p>
        </w:tc>
      </w:tr>
      <w:tr>
        <w:tc>
          <w:tcPr>
            <w:tcW w:type="dxa" w:w="576"/>
          </w:tcPr>
          <w:p>
            <w:pPr>
              <w:jc w:val="left"/>
            </w:pPr>
            <w:r/>
            <w:r>
              <w:rPr>
                <w:i w:val="0"/>
                <w:sz w:val="18"/>
              </w:rPr>
              <w:t>B3</w:t>
            </w:r>
          </w:p>
        </w:tc>
        <w:tc>
          <w:tcPr>
            <w:tcW w:type="dxa" w:w="3384"/>
          </w:tcPr>
          <w:p>
            <w:pPr>
              <w:jc w:val="left"/>
            </w:pPr>
            <w:r/>
            <w:r>
              <w:rPr>
                <w:i/>
                <w:color w:val="444444"/>
                <w:sz w:val="18"/>
              </w:rPr>
              <w:t>The graphical lasso network lacks rationale — clarify what input was used, how it complements the ML and DEG analyses, and note that SHAP-derived features could directly serve as network input.</w:t>
            </w:r>
          </w:p>
        </w:tc>
        <w:tc>
          <w:tcPr>
            <w:tcW w:type="dxa" w:w="4968"/>
          </w:tcPr>
          <w:p>
            <w:pPr>
              <w:jc w:val="left"/>
            </w:pPr>
            <w:r/>
            <w:r>
              <w:rPr>
                <w:i w:val="0"/>
                <w:sz w:val="18"/>
              </w:rPr>
              <w:t>We have adopted the reviewer's suggestion. The network is now estimated on the SHAP-ranked panel of each arm, so one feature set flows through the whole pipeline. Section 2.9 states what the input is, what a partial correlation means and why it is preferable to a marginal correlation network, and what the network adds that the model and the differential expression do not: it shows how the signal is internally organised. Edges remain undirected, outcome is not a node, and hubs are not described as regulators.</w:t>
            </w:r>
          </w:p>
        </w:tc>
        <w:tc>
          <w:tcPr>
            <w:tcW w:type="dxa" w:w="2016"/>
          </w:tcPr>
          <w:p>
            <w:pPr>
              <w:jc w:val="left"/>
            </w:pPr>
            <w:r/>
            <w:r>
              <w:rPr>
                <w:i w:val="0"/>
                <w:sz w:val="18"/>
              </w:rPr>
              <w:t>Sections 2.9, 3.6; Figure 6</w:t>
            </w:r>
          </w:p>
        </w:tc>
      </w:tr>
      <w:tr>
        <w:tc>
          <w:tcPr>
            <w:tcW w:type="dxa" w:w="576"/>
          </w:tcPr>
          <w:p>
            <w:pPr>
              <w:jc w:val="left"/>
            </w:pPr>
            <w:r/>
            <w:r>
              <w:rPr>
                <w:i w:val="0"/>
                <w:sz w:val="18"/>
              </w:rPr>
              <w:t>B4</w:t>
            </w:r>
          </w:p>
        </w:tc>
        <w:tc>
          <w:tcPr>
            <w:tcW w:type="dxa" w:w="3384"/>
          </w:tcPr>
          <w:p>
            <w:pPr>
              <w:jc w:val="left"/>
            </w:pPr>
            <w:r/>
            <w:r>
              <w:rPr>
                <w:i/>
                <w:color w:val="444444"/>
                <w:sz w:val="18"/>
              </w:rPr>
              <w:t>Class-specific sensitivity and specificity should be reported alongside AUC.</w:t>
            </w:r>
          </w:p>
        </w:tc>
        <w:tc>
          <w:tcPr>
            <w:tcW w:type="dxa" w:w="4968"/>
          </w:tcPr>
          <w:p>
            <w:pPr>
              <w:jc w:val="left"/>
            </w:pPr>
            <w:r/>
            <w:r>
              <w:rPr>
                <w:i w:val="0"/>
                <w:sz w:val="18"/>
              </w:rPr>
              <w:t>Sensitivity, specificity, predictive values and F1 are now reported for each outcome class separately in every arm, with the reason given in Section 2.5: a single summary conceals how differently a model behaves on a rare class and a common one. Before treatment the contrast is stark (positive predictive value 0.21 against negative predictive value 0.97); at week 24 performance is balanced (sensitivity 0.86, specificity 0.91 for the unfavourable class).</w:t>
            </w:r>
          </w:p>
        </w:tc>
        <w:tc>
          <w:tcPr>
            <w:tcW w:type="dxa" w:w="2016"/>
          </w:tcPr>
          <w:p>
            <w:pPr>
              <w:jc w:val="left"/>
            </w:pPr>
            <w:r/>
            <w:r>
              <w:rPr>
                <w:i w:val="0"/>
                <w:sz w:val="18"/>
              </w:rPr>
              <w:t>Sections 2.5, 3.2, 3.3; Table 2; Figure 2</w:t>
            </w:r>
          </w:p>
        </w:tc>
      </w:tr>
      <w:tr>
        <w:tc>
          <w:tcPr>
            <w:tcW w:type="dxa" w:w="576"/>
          </w:tcPr>
          <w:p>
            <w:pPr>
              <w:jc w:val="left"/>
            </w:pPr>
            <w:r/>
            <w:r>
              <w:rPr>
                <w:i w:val="0"/>
                <w:sz w:val="18"/>
              </w:rPr>
              <w:t>B5</w:t>
            </w:r>
          </w:p>
        </w:tc>
        <w:tc>
          <w:tcPr>
            <w:tcW w:type="dxa" w:w="3384"/>
          </w:tcPr>
          <w:p>
            <w:pPr>
              <w:jc w:val="left"/>
            </w:pPr>
            <w:r/>
            <w:r>
              <w:rPr>
                <w:i/>
                <w:color w:val="444444"/>
                <w:sz w:val="18"/>
              </w:rPr>
              <w:t>The figure reporting predicted failure probability correlated with neutrophil (ρ = 0.66) and T-cell scores (ρ = −0.66) is missing and should be reinstated.</w:t>
            </w:r>
          </w:p>
        </w:tc>
        <w:tc>
          <w:tcPr>
            <w:tcW w:type="dxa" w:w="4968"/>
          </w:tcPr>
          <w:p>
            <w:pPr>
              <w:jc w:val="left"/>
            </w:pPr>
            <w:r/>
            <w:r>
              <w:rPr>
                <w:i w:val="0"/>
                <w:sz w:val="18"/>
              </w:rPr>
              <w:t>Reinstated as Figure 5, and extended to all four arms rather than one. Predicted probability correlates with the neutrophil score (ρ = +0.60 before treatment, +0.50 at week 24) and inversely with the T-cell score (-0.69 and -0.62). This is the step that shows the machine-learning signal and the deconvolution describe the same biology.</w:t>
            </w:r>
          </w:p>
        </w:tc>
        <w:tc>
          <w:tcPr>
            <w:tcW w:type="dxa" w:w="2016"/>
          </w:tcPr>
          <w:p>
            <w:pPr>
              <w:jc w:val="left"/>
            </w:pPr>
            <w:r/>
            <w:r>
              <w:rPr>
                <w:i w:val="0"/>
                <w:sz w:val="18"/>
              </w:rPr>
              <w:t>Section 3.5; Figure 5</w:t>
            </w:r>
          </w:p>
        </w:tc>
      </w:tr>
    </w:tbl>
    <w:p/>
    <w:p>
      <w:pPr>
        <w:spacing w:after="120"/>
        <w:jc w:val="both"/>
      </w:pPr>
      <w:r>
        <w:rPr>
          <w:b/>
          <w:i w:val="0"/>
          <w:sz w:val="22"/>
        </w:rPr>
        <w:t>Section C — Language and communication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576"/>
          </w:tcPr>
          <w:p>
            <w:r/>
            <w:r>
              <w:rPr>
                <w:b/>
                <w:sz w:val="19"/>
              </w:rPr>
              <w:t>#</w:t>
            </w:r>
          </w:p>
        </w:tc>
        <w:tc>
          <w:tcPr>
            <w:tcW w:type="dxa" w:w="3384"/>
          </w:tcPr>
          <w:p>
            <w:r/>
            <w:r>
              <w:rPr>
                <w:b/>
                <w:sz w:val="19"/>
              </w:rPr>
              <w:t>Reviewer comment</w:t>
            </w:r>
          </w:p>
        </w:tc>
        <w:tc>
          <w:tcPr>
            <w:tcW w:type="dxa" w:w="4968"/>
          </w:tcPr>
          <w:p>
            <w:r/>
            <w:r>
              <w:rPr>
                <w:b/>
                <w:sz w:val="19"/>
              </w:rPr>
              <w:t>Author response</w:t>
            </w:r>
          </w:p>
        </w:tc>
        <w:tc>
          <w:tcPr>
            <w:tcW w:type="dxa" w:w="2016"/>
          </w:tcPr>
          <w:p>
            <w:r/>
            <w:r>
              <w:rPr>
                <w:b/>
                <w:sz w:val="19"/>
              </w:rPr>
              <w:t>Location in the revised manuscript</w:t>
            </w:r>
          </w:p>
        </w:tc>
      </w:tr>
      <w:tr>
        <w:tc>
          <w:tcPr>
            <w:tcW w:type="dxa" w:w="576"/>
          </w:tcPr>
          <w:p>
            <w:pPr>
              <w:jc w:val="left"/>
            </w:pPr>
            <w:r/>
            <w:r>
              <w:rPr>
                <w:i w:val="0"/>
                <w:sz w:val="18"/>
              </w:rPr>
              <w:t>C1</w:t>
            </w:r>
          </w:p>
        </w:tc>
        <w:tc>
          <w:tcPr>
            <w:tcW w:type="dxa" w:w="3384"/>
          </w:tcPr>
          <w:p>
            <w:pPr>
              <w:jc w:val="left"/>
            </w:pPr>
            <w:r/>
            <w:r>
              <w:rPr>
                <w:i/>
                <w:color w:val="444444"/>
                <w:sz w:val="18"/>
              </w:rPr>
              <w:t>Phrases such as “not first in the field” should be removed.</w:t>
            </w:r>
          </w:p>
        </w:tc>
        <w:tc>
          <w:tcPr>
            <w:tcW w:type="dxa" w:w="4968"/>
          </w:tcPr>
          <w:p>
            <w:pPr>
              <w:jc w:val="left"/>
            </w:pPr>
            <w:r/>
            <w:r>
              <w:rPr>
                <w:i w:val="0"/>
                <w:sz w:val="18"/>
              </w:rPr>
              <w:t>Removed. The manuscript makes no claim about precedence in either direction. Related work is cited where it informs the interpretation and is not used as a comparator for our own standing.</w:t>
            </w:r>
          </w:p>
        </w:tc>
        <w:tc>
          <w:tcPr>
            <w:tcW w:type="dxa" w:w="2016"/>
          </w:tcPr>
          <w:p>
            <w:pPr>
              <w:jc w:val="left"/>
            </w:pPr>
            <w:r/>
            <w:r>
              <w:rPr>
                <w:i w:val="0"/>
                <w:sz w:val="18"/>
              </w:rPr>
              <w:t>Sections 1, 4</w:t>
            </w:r>
          </w:p>
        </w:tc>
      </w:tr>
      <w:tr>
        <w:tc>
          <w:tcPr>
            <w:tcW w:type="dxa" w:w="576"/>
          </w:tcPr>
          <w:p>
            <w:pPr>
              <w:jc w:val="left"/>
            </w:pPr>
            <w:r/>
            <w:r>
              <w:rPr>
                <w:i w:val="0"/>
                <w:sz w:val="18"/>
              </w:rPr>
              <w:t>C2</w:t>
            </w:r>
          </w:p>
        </w:tc>
        <w:tc>
          <w:tcPr>
            <w:tcW w:type="dxa" w:w="3384"/>
          </w:tcPr>
          <w:p>
            <w:pPr>
              <w:jc w:val="left"/>
            </w:pPr>
            <w:r/>
            <w:r>
              <w:rPr>
                <w:i/>
                <w:color w:val="444444"/>
                <w:sz w:val="18"/>
              </w:rPr>
              <w:t>A clear distinction must be maintained between the reviewer response and the manuscript. Methodological justifications and dialogue with reviewers belong in the cover letter — not in the manuscript body.</w:t>
            </w:r>
          </w:p>
        </w:tc>
        <w:tc>
          <w:tcPr>
            <w:tcW w:type="dxa" w:w="4968"/>
          </w:tcPr>
          <w:p>
            <w:pPr>
              <w:jc w:val="left"/>
            </w:pPr>
            <w:r/>
            <w:r>
              <w:rPr>
                <w:i w:val="0"/>
                <w:sz w:val="18"/>
              </w:rPr>
              <w:t>The manuscript has been rewritten as a self-contained account. All references to earlier submissions, to reviewer concerns, to what was corrected and to previously reported figures have been removed, including the note to editors. Methods now state what was done and why on its own terms. The reasoning behind those choices appears only in this letter.</w:t>
            </w:r>
          </w:p>
        </w:tc>
        <w:tc>
          <w:tcPr>
            <w:tcW w:type="dxa" w:w="2016"/>
          </w:tcPr>
          <w:p>
            <w:pPr>
              <w:jc w:val="left"/>
            </w:pPr>
            <w:r/>
            <w:r>
              <w:rPr>
                <w:i w:val="0"/>
                <w:sz w:val="18"/>
              </w:rPr>
              <w:t>Throughout</w:t>
            </w:r>
          </w:p>
        </w:tc>
      </w:tr>
      <w:tr>
        <w:tc>
          <w:tcPr>
            <w:tcW w:type="dxa" w:w="576"/>
          </w:tcPr>
          <w:p>
            <w:pPr>
              <w:jc w:val="left"/>
            </w:pPr>
            <w:r/>
            <w:r>
              <w:rPr>
                <w:i w:val="0"/>
                <w:sz w:val="18"/>
              </w:rPr>
              <w:t>C3</w:t>
            </w:r>
          </w:p>
        </w:tc>
        <w:tc>
          <w:tcPr>
            <w:tcW w:type="dxa" w:w="3384"/>
          </w:tcPr>
          <w:p>
            <w:pPr>
              <w:jc w:val="left"/>
            </w:pPr>
            <w:r/>
            <w:r>
              <w:rPr>
                <w:i/>
                <w:color w:val="444444"/>
                <w:sz w:val="18"/>
              </w:rPr>
              <w:t>Language requires a general polish throughout.</w:t>
            </w:r>
          </w:p>
        </w:tc>
        <w:tc>
          <w:tcPr>
            <w:tcW w:type="dxa" w:w="4968"/>
          </w:tcPr>
          <w:p>
            <w:pPr>
              <w:jc w:val="left"/>
            </w:pPr>
            <w:r/>
            <w:r>
              <w:rPr>
                <w:i w:val="0"/>
                <w:sz w:val="18"/>
              </w:rPr>
              <w:t>The manuscript has been rewritten rather than edited. Sentences are shorter, the voice is active, hedging has been reduced to what the evidence requires, and each section states its point before elaborating.</w:t>
            </w:r>
          </w:p>
        </w:tc>
        <w:tc>
          <w:tcPr>
            <w:tcW w:type="dxa" w:w="2016"/>
          </w:tcPr>
          <w:p>
            <w:pPr>
              <w:jc w:val="left"/>
            </w:pPr>
            <w:r/>
            <w:r>
              <w:rPr>
                <w:i w:val="0"/>
                <w:sz w:val="18"/>
              </w:rPr>
              <w:t>Throughout</w:t>
            </w:r>
          </w:p>
        </w:tc>
      </w:tr>
      <w:tr>
        <w:tc>
          <w:tcPr>
            <w:tcW w:type="dxa" w:w="576"/>
          </w:tcPr>
          <w:p>
            <w:pPr>
              <w:jc w:val="left"/>
            </w:pPr>
            <w:r/>
            <w:r>
              <w:rPr>
                <w:i w:val="0"/>
                <w:sz w:val="18"/>
              </w:rPr>
              <w:t>C4</w:t>
            </w:r>
          </w:p>
        </w:tc>
        <w:tc>
          <w:tcPr>
            <w:tcW w:type="dxa" w:w="3384"/>
          </w:tcPr>
          <w:p>
            <w:pPr>
              <w:jc w:val="left"/>
            </w:pPr>
            <w:r/>
            <w:r>
              <w:rPr>
                <w:i/>
                <w:color w:val="444444"/>
                <w:sz w:val="18"/>
              </w:rPr>
              <w:t>The core idea could be to use ML-based features and verify findings against established bioinformatics tools (decomposition, DEG analysis, network approaches) — a coherent pipeline where every step has a clear rationale. Lulu &amp; Naidu (2024) may serve as a structural reference.</w:t>
            </w:r>
          </w:p>
        </w:tc>
        <w:tc>
          <w:tcPr>
            <w:tcW w:type="dxa" w:w="4968"/>
          </w:tcPr>
          <w:p>
            <w:pPr>
              <w:jc w:val="left"/>
            </w:pPr>
            <w:r/>
            <w:r>
              <w:rPr>
                <w:i w:val="0"/>
                <w:sz w:val="18"/>
              </w:rPr>
              <w:t>This is now the organising principle, and we are grateful for the reference, which we have consulted and cited. Attribution on the gradient-boosted model produces a ranked feature panel; that same panel is the input to pathway enrichment and to the network. Deconvolution tests whether the model's predictions track an independently measurable cellular axis, differential expression tests the genes directly, and the external cohort tests whether the axis holds elsewhere. Figure 1 shows this chain, and each Methods subsection opens with the reason the step exists. We have taken the principle one step further than suggested: every arm is also scored with four published signatures of active tuberculosis applied without fitting, which verifies the model-derived signal against externally validated instruments rather than only against methods we ran ourselves. That check confirms the week-24 result and shows those signatures outperform our models, which we now report.</w:t>
            </w:r>
          </w:p>
        </w:tc>
        <w:tc>
          <w:tcPr>
            <w:tcW w:type="dxa" w:w="2016"/>
          </w:tcPr>
          <w:p>
            <w:pPr>
              <w:jc w:val="left"/>
            </w:pPr>
            <w:r/>
            <w:r>
              <w:rPr>
                <w:i w:val="0"/>
                <w:sz w:val="18"/>
              </w:rPr>
              <w:t>Sections 2.6–2.10; Figure 1; reference 15</w:t>
            </w:r>
          </w:p>
        </w:tc>
      </w:tr>
    </w:tbl>
    <w:p/>
    <w:p>
      <w:pPr>
        <w:pStyle w:val="Heading1"/>
      </w:pPr>
      <w:r>
        <w:t>Reviewer 2</w:t>
      </w:r>
    </w:p>
    <w:p>
      <w:pPr>
        <w:spacing w:after="160"/>
        <w:jc w:val="both"/>
      </w:pPr>
      <w:r>
        <w:rPr>
          <w:b w:val="0"/>
          <w:i w:val="0"/>
          <w:sz w:val="21"/>
        </w:rPr>
        <w:t>The reviewer judged that the revised work added no meaningful result because the model performed no better than chance, which made the downstream analyses unsafe to interpret. We took this seriously; it is the criticism that prompted us to return to the primary data. What we found changes the basis of the objection.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576"/>
          </w:tcPr>
          <w:p>
            <w:r/>
            <w:r>
              <w:rPr>
                <w:b/>
                <w:sz w:val="19"/>
              </w:rPr>
              <w:t>#</w:t>
            </w:r>
          </w:p>
        </w:tc>
        <w:tc>
          <w:tcPr>
            <w:tcW w:type="dxa" w:w="3384"/>
          </w:tcPr>
          <w:p>
            <w:r/>
            <w:r>
              <w:rPr>
                <w:b/>
                <w:sz w:val="19"/>
              </w:rPr>
              <w:t>Reviewer comment</w:t>
            </w:r>
          </w:p>
        </w:tc>
        <w:tc>
          <w:tcPr>
            <w:tcW w:type="dxa" w:w="4968"/>
          </w:tcPr>
          <w:p>
            <w:r/>
            <w:r>
              <w:rPr>
                <w:b/>
                <w:sz w:val="19"/>
              </w:rPr>
              <w:t>Author response</w:t>
            </w:r>
          </w:p>
        </w:tc>
        <w:tc>
          <w:tcPr>
            <w:tcW w:type="dxa" w:w="2016"/>
          </w:tcPr>
          <w:p>
            <w:r/>
            <w:r>
              <w:rPr>
                <w:b/>
                <w:sz w:val="19"/>
              </w:rPr>
              <w:t>Location in the revised manuscript</w:t>
            </w:r>
          </w:p>
        </w:tc>
      </w:tr>
      <w:tr>
        <w:tc>
          <w:tcPr>
            <w:tcW w:type="dxa" w:w="576"/>
          </w:tcPr>
          <w:p>
            <w:pPr>
              <w:jc w:val="left"/>
            </w:pPr>
            <w:r/>
            <w:r>
              <w:rPr>
                <w:i w:val="0"/>
                <w:sz w:val="18"/>
              </w:rPr>
              <w:t>R2.1</w:t>
            </w:r>
          </w:p>
        </w:tc>
        <w:tc>
          <w:tcPr>
            <w:tcW w:type="dxa" w:w="3384"/>
          </w:tcPr>
          <w:p>
            <w:pPr>
              <w:jc w:val="left"/>
            </w:pPr>
            <w:r/>
            <w:r>
              <w:rPr>
                <w:i/>
                <w:color w:val="444444"/>
                <w:sz w:val="18"/>
              </w:rPr>
              <w:t>The presented ML model is not any better than random chance, rendering all downstream results dubious at best.</w:t>
            </w:r>
          </w:p>
        </w:tc>
        <w:tc>
          <w:tcPr>
            <w:tcW w:type="dxa" w:w="4968"/>
          </w:tcPr>
          <w:p>
            <w:pPr>
              <w:jc w:val="left"/>
            </w:pPr>
            <w:r/>
            <w:r>
              <w:rPr>
                <w:i w:val="0"/>
                <w:sz w:val="18"/>
              </w:rPr>
              <w:t>This was a fair reading of what was presented. The cause was a data problem rather than a modelling one: the matrix used previously was an incomplete extract of the deposit, containing on-treatment samples for cured patients but not for those with an unfavourable outcome, so only the pre-treatment state could be examined and pooling produced a misleading aggregate. Reprocessing the complete deposit recovered the missing samples (367 samples, 98 subjects, four timepoints). Discrimination at the end of therapy is now 0.93 (95% CI 0.81–1.00) with a precision–recall AUC of 0.67 against a prevalence of 0.07, a permutation p = 0.006, and agreement across all three classifiers. This is well clear of chance.</w:t>
            </w:r>
          </w:p>
        </w:tc>
        <w:tc>
          <w:tcPr>
            <w:tcW w:type="dxa" w:w="2016"/>
          </w:tcPr>
          <w:p>
            <w:pPr>
              <w:jc w:val="left"/>
            </w:pPr>
            <w:r/>
            <w:r>
              <w:rPr>
                <w:i w:val="0"/>
                <w:sz w:val="18"/>
              </w:rPr>
              <w:t>Sections 2.1, 3.3; Table 2; Figure 2</w:t>
            </w:r>
          </w:p>
        </w:tc>
      </w:tr>
      <w:tr>
        <w:tc>
          <w:tcPr>
            <w:tcW w:type="dxa" w:w="576"/>
          </w:tcPr>
          <w:p>
            <w:pPr>
              <w:jc w:val="left"/>
            </w:pPr>
            <w:r/>
            <w:r>
              <w:rPr>
                <w:i w:val="0"/>
                <w:sz w:val="18"/>
              </w:rPr>
              <w:t>R2.2</w:t>
            </w:r>
          </w:p>
        </w:tc>
        <w:tc>
          <w:tcPr>
            <w:tcW w:type="dxa" w:w="3384"/>
          </w:tcPr>
          <w:p>
            <w:pPr>
              <w:jc w:val="left"/>
            </w:pPr>
            <w:r/>
            <w:r>
              <w:rPr>
                <w:i/>
                <w:color w:val="444444"/>
                <w:sz w:val="18"/>
              </w:rPr>
              <w:t>Downstream results are unsafe to interpret if the model is uninformative.</w:t>
            </w:r>
          </w:p>
        </w:tc>
        <w:tc>
          <w:tcPr>
            <w:tcW w:type="dxa" w:w="4968"/>
          </w:tcPr>
          <w:p>
            <w:pPr>
              <w:jc w:val="left"/>
            </w:pPr>
            <w:r/>
            <w:r>
              <w:rPr>
                <w:i w:val="0"/>
                <w:sz w:val="18"/>
              </w:rPr>
              <w:t>We accept the principle and have applied it. Interpretation is now anchored to arms where the signal is demonstrable, and the pre-treatment arm is presented as a negative result from which no mechanistic conclusion is drawn. Independently of the models, 5,924 genes are differentially expressed at week 24 after false-discovery correction, so the biology described does not rest on classifier performance alone.</w:t>
            </w:r>
          </w:p>
        </w:tc>
        <w:tc>
          <w:tcPr>
            <w:tcW w:type="dxa" w:w="2016"/>
          </w:tcPr>
          <w:p>
            <w:pPr>
              <w:jc w:val="left"/>
            </w:pPr>
            <w:r/>
            <w:r>
              <w:rPr>
                <w:i w:val="0"/>
                <w:sz w:val="18"/>
              </w:rPr>
              <w:t>Sections 3.2, 3.3, 3.4, 4</w:t>
            </w:r>
          </w:p>
        </w:tc>
      </w:tr>
      <w:tr>
        <w:tc>
          <w:tcPr>
            <w:tcW w:type="dxa" w:w="576"/>
          </w:tcPr>
          <w:p>
            <w:pPr>
              <w:jc w:val="left"/>
            </w:pPr>
            <w:r/>
            <w:r>
              <w:rPr>
                <w:i w:val="0"/>
                <w:sz w:val="18"/>
              </w:rPr>
              <w:t>R2.3</w:t>
            </w:r>
          </w:p>
        </w:tc>
        <w:tc>
          <w:tcPr>
            <w:tcW w:type="dxa" w:w="3384"/>
          </w:tcPr>
          <w:p>
            <w:pPr>
              <w:jc w:val="left"/>
            </w:pPr>
            <w:r/>
            <w:r>
              <w:rPr>
                <w:i/>
                <w:color w:val="444444"/>
                <w:sz w:val="18"/>
              </w:rPr>
              <w:t>The work does not contribute new or meaningful results in the context of transcriptome data analysis for TB research.</w:t>
            </w:r>
          </w:p>
        </w:tc>
        <w:tc>
          <w:tcPr>
            <w:tcW w:type="dxa" w:w="4968"/>
          </w:tcPr>
          <w:p>
            <w:pPr>
              <w:jc w:val="left"/>
            </w:pPr>
            <w:r/>
            <w:r>
              <w:rPr>
                <w:i w:val="0"/>
                <w:sz w:val="18"/>
              </w:rPr>
              <w:t>We would put the contribution differently now, and more modestly. The result is a map of when outcome is readable from whole blood: not before treatment, not at day 7 or week 4, and clearly at the end of therapy. We no longer claim a new signature. Scoring the data with four published signatures shows that the week-24 separation is the established interferon-driven active-disease signature persisting in patients who were not cured, and that those unfitted signatures outperform our fitted models in every arm. We report that directly, including its implication that the machine learning added no predictive value. A study reporting where a signal is present, where it is absent, where it fails to transfer, and where a simpler established tool does the job better seems to us worth publishing, but we accept that judgement is the editors'.</w:t>
            </w:r>
          </w:p>
        </w:tc>
        <w:tc>
          <w:tcPr>
            <w:tcW w:type="dxa" w:w="2016"/>
          </w:tcPr>
          <w:p>
            <w:pPr>
              <w:jc w:val="left"/>
            </w:pPr>
            <w:r/>
            <w:r>
              <w:rPr>
                <w:i w:val="0"/>
                <w:sz w:val="18"/>
              </w:rPr>
              <w:t>Sections 3.7, 3.9, 4</w:t>
            </w:r>
          </w:p>
        </w:tc>
      </w:tr>
      <w:tr>
        <w:tc>
          <w:tcPr>
            <w:tcW w:type="dxa" w:w="576"/>
          </w:tcPr>
          <w:p>
            <w:pPr>
              <w:jc w:val="left"/>
            </w:pPr>
            <w:r/>
            <w:r>
              <w:rPr>
                <w:i w:val="0"/>
                <w:sz w:val="18"/>
              </w:rPr>
              <w:t>R2.4</w:t>
            </w:r>
          </w:p>
        </w:tc>
        <w:tc>
          <w:tcPr>
            <w:tcW w:type="dxa" w:w="3384"/>
          </w:tcPr>
          <w:p>
            <w:pPr>
              <w:jc w:val="left"/>
            </w:pPr>
            <w:r/>
            <w:r>
              <w:rPr>
                <w:i/>
                <w:color w:val="444444"/>
                <w:sz w:val="18"/>
              </w:rPr>
              <w:t>Downstream interpretation must rest on something firmer than one cross-validated model.</w:t>
            </w:r>
          </w:p>
        </w:tc>
        <w:tc>
          <w:tcPr>
            <w:tcW w:type="dxa" w:w="4968"/>
          </w:tcPr>
          <w:p>
            <w:pPr>
              <w:jc w:val="left"/>
            </w:pPr>
            <w:r/>
            <w:r>
              <w:rPr>
                <w:i w:val="0"/>
                <w:sz w:val="18"/>
              </w:rPr>
              <w:t>It now does. The week-24 arm was tested against five specific failure modes: technical confounding (library size and detection rate do not differ, smallest p = 0.14), influence of individual patients (removing any single event leaves ROC-AUC between 0.89 and 0.96), classifier choice (all three agree, 0.90–0.93), multiplicity across the four arms (Holm-adjusted p = 0.024, still significant), and confounding by bacterial load (a real association we report as a limitation, since the deposit holds no week-24 culture result). Independent published signatures reproduce the finding without fitting.</w:t>
            </w:r>
          </w:p>
        </w:tc>
        <w:tc>
          <w:tcPr>
            <w:tcW w:type="dxa" w:w="2016"/>
          </w:tcPr>
          <w:p>
            <w:pPr>
              <w:jc w:val="left"/>
            </w:pPr>
            <w:r/>
            <w:r>
              <w:rPr>
                <w:i w:val="0"/>
                <w:sz w:val="18"/>
              </w:rPr>
              <w:t>Section 3.11; Supplementary Table S16</w:t>
            </w:r>
          </w:p>
        </w:tc>
      </w:tr>
    </w:tbl>
    <w:p/>
    <w:p>
      <w:pPr>
        <w:pStyle w:val="Heading1"/>
      </w:pPr>
      <w:r>
        <w:t>Reviewer 3</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576"/>
          </w:tcPr>
          <w:p>
            <w:r/>
            <w:r>
              <w:rPr>
                <w:b/>
                <w:sz w:val="19"/>
              </w:rPr>
              <w:t>#</w:t>
            </w:r>
          </w:p>
        </w:tc>
        <w:tc>
          <w:tcPr>
            <w:tcW w:type="dxa" w:w="3384"/>
          </w:tcPr>
          <w:p>
            <w:r/>
            <w:r>
              <w:rPr>
                <w:b/>
                <w:sz w:val="19"/>
              </w:rPr>
              <w:t>Reviewer comment</w:t>
            </w:r>
          </w:p>
        </w:tc>
        <w:tc>
          <w:tcPr>
            <w:tcW w:type="dxa" w:w="4968"/>
          </w:tcPr>
          <w:p>
            <w:r/>
            <w:r>
              <w:rPr>
                <w:b/>
                <w:sz w:val="19"/>
              </w:rPr>
              <w:t>Author response</w:t>
            </w:r>
          </w:p>
        </w:tc>
        <w:tc>
          <w:tcPr>
            <w:tcW w:type="dxa" w:w="2016"/>
          </w:tcPr>
          <w:p>
            <w:r/>
            <w:r>
              <w:rPr>
                <w:b/>
                <w:sz w:val="19"/>
              </w:rPr>
              <w:t>Location in the revised manuscript</w:t>
            </w:r>
          </w:p>
        </w:tc>
      </w:tr>
      <w:tr>
        <w:tc>
          <w:tcPr>
            <w:tcW w:type="dxa" w:w="576"/>
          </w:tcPr>
          <w:p>
            <w:pPr>
              <w:jc w:val="left"/>
            </w:pPr>
            <w:r/>
            <w:r>
              <w:rPr>
                <w:i w:val="0"/>
                <w:sz w:val="18"/>
              </w:rPr>
              <w:t>R3.1</w:t>
            </w:r>
          </w:p>
        </w:tc>
        <w:tc>
          <w:tcPr>
            <w:tcW w:type="dxa" w:w="3384"/>
          </w:tcPr>
          <w:p>
            <w:pPr>
              <w:jc w:val="left"/>
            </w:pPr>
            <w:r/>
            <w:r>
              <w:rPr>
                <w:i/>
                <w:color w:val="444444"/>
                <w:sz w:val="18"/>
              </w:rPr>
              <w:t>The signatures have not been validated beyond one study. The author could reach out to the authors of the study for which data were unavailable, or look for datasets on similar or related diseases to check if the immune signature holds.</w:t>
            </w:r>
          </w:p>
        </w:tc>
        <w:tc>
          <w:tcPr>
            <w:tcW w:type="dxa" w:w="4968"/>
          </w:tcPr>
          <w:p>
            <w:pPr>
              <w:jc w:val="left"/>
            </w:pPr>
            <w:r/>
            <w:r>
              <w:rPr>
                <w:i w:val="0"/>
                <w:sz w:val="18"/>
              </w:rPr>
              <w:t>We followed the second suggestion and identified a suitable independent cohort: GSE67589, 20 patients with pulmonary tuberculosis sampled at diagnosis, week 2 and week 4, with outcome recorded as cure or relapse after apparently successful treatment. The signature did not hold. Neutrophil scores did not differ between outcome groups at diagnosis (rank-biserial r = +0.00, p = 1.00), and no cell-composition comparison reached significance at any timepoint. Directional signatures transferred from the discovery cohort performed no better than chance (ROC-AUC 0.31–0.53, all confidence intervals spanning 0.5). We report this as a failure to generalise. The title, abstract, discussion and limitations have been revised so that no claim of generalisation appears anywhere. We note three constraints on what the negative establishes — the cohort defines its unfavourable outcome as relapse rather than failure to be cured, it has eight to ten patients per group, and it stops at week 4, so the arm in which we see a strong signal has no matching timepoint — but we do not use them to soften the conclusion.</w:t>
            </w:r>
          </w:p>
        </w:tc>
        <w:tc>
          <w:tcPr>
            <w:tcW w:type="dxa" w:w="2016"/>
          </w:tcPr>
          <w:p>
            <w:pPr>
              <w:jc w:val="left"/>
            </w:pPr>
            <w:r/>
            <w:r>
              <w:rPr>
                <w:i w:val="0"/>
                <w:sz w:val="18"/>
              </w:rPr>
              <w:t>Sections 2.10, 3.7, 4, 4.1; Figure 7; Table 4</w:t>
            </w:r>
          </w:p>
        </w:tc>
      </w:tr>
      <w:tr>
        <w:tc>
          <w:tcPr>
            <w:tcW w:type="dxa" w:w="576"/>
          </w:tcPr>
          <w:p>
            <w:pPr>
              <w:jc w:val="left"/>
            </w:pPr>
            <w:r/>
            <w:r>
              <w:rPr>
                <w:i w:val="0"/>
                <w:sz w:val="18"/>
              </w:rPr>
              <w:t>R3.2</w:t>
            </w:r>
          </w:p>
        </w:tc>
        <w:tc>
          <w:tcPr>
            <w:tcW w:type="dxa" w:w="3384"/>
          </w:tcPr>
          <w:p>
            <w:pPr>
              <w:jc w:val="left"/>
            </w:pPr>
            <w:r/>
            <w:r>
              <w:rPr>
                <w:i/>
                <w:color w:val="444444"/>
                <w:sz w:val="18"/>
              </w:rPr>
              <w:t>The results are very preliminary and report essentially a negative result; negative results are acceptable but must be robust, performed in a large dataset, and replicated in one or more independent studies.</w:t>
            </w:r>
          </w:p>
        </w:tc>
        <w:tc>
          <w:tcPr>
            <w:tcW w:type="dxa" w:w="4968"/>
          </w:tcPr>
          <w:p>
            <w:pPr>
              <w:jc w:val="left"/>
            </w:pPr>
            <w:r/>
            <w:r>
              <w:rPr>
                <w:i w:val="0"/>
                <w:sz w:val="18"/>
              </w:rPr>
              <w:t>We have met the first two requirements and failed the third, and we say so. The dataset is larger than before, since recovering the complete deposit increased the analysed material to 367 samples across four timepoints. Robustness is addressed by three classifiers agreeing, permutation testing, leave-one-out cross-validation, bootstrap confidence intervals and false-discovery control; on that basis the pre-treatment negative and the week-24 positive are both well supported within the discovery cohort. Replication was attempted and did not succeed. The manuscript now presents internal convergence and failure to generalise as two distinct findings, and argues explicitly that the former does not imply the latter.</w:t>
            </w:r>
          </w:p>
        </w:tc>
        <w:tc>
          <w:tcPr>
            <w:tcW w:type="dxa" w:w="2016"/>
          </w:tcPr>
          <w:p>
            <w:pPr>
              <w:jc w:val="left"/>
            </w:pPr>
            <w:r/>
            <w:r>
              <w:rPr>
                <w:i w:val="0"/>
                <w:sz w:val="18"/>
              </w:rPr>
              <w:t>Sections 2.4, 2.5, 3.2, 3.3, 3.7, 4</w:t>
            </w:r>
          </w:p>
        </w:tc>
      </w:tr>
      <w:tr>
        <w:tc>
          <w:tcPr>
            <w:tcW w:type="dxa" w:w="576"/>
          </w:tcPr>
          <w:p>
            <w:pPr>
              <w:jc w:val="left"/>
            </w:pPr>
            <w:r/>
            <w:r>
              <w:rPr>
                <w:i w:val="0"/>
                <w:sz w:val="18"/>
              </w:rPr>
              <w:t>R3.3</w:t>
            </w:r>
          </w:p>
        </w:tc>
        <w:tc>
          <w:tcPr>
            <w:tcW w:type="dxa" w:w="3384"/>
          </w:tcPr>
          <w:p>
            <w:pPr>
              <w:jc w:val="left"/>
            </w:pPr>
            <w:r/>
            <w:r>
              <w:rPr>
                <w:i/>
                <w:color w:val="444444"/>
                <w:sz w:val="18"/>
              </w:rPr>
              <w:t>The results are not from a large dataset.</w:t>
            </w:r>
          </w:p>
        </w:tc>
        <w:tc>
          <w:tcPr>
            <w:tcW w:type="dxa" w:w="4968"/>
          </w:tcPr>
          <w:p>
            <w:pPr>
              <w:jc w:val="left"/>
            </w:pPr>
            <w:r/>
            <w:r>
              <w:rPr>
                <w:i w:val="0"/>
                <w:sz w:val="18"/>
              </w:rPr>
              <w:t>This limitation stands and we have not disguised it. Unfavourable outcomes number between six and eight per arm, and every confidence interval reflects that. Section 3.1 states that all estimates rest on fewer than ten events, and Section 4.1 lists small event counts first among the limitations. We describe the work as exploratory throughout and make no claim of clinical readiness.</w:t>
            </w:r>
          </w:p>
        </w:tc>
        <w:tc>
          <w:tcPr>
            <w:tcW w:type="dxa" w:w="2016"/>
          </w:tcPr>
          <w:p>
            <w:pPr>
              <w:jc w:val="left"/>
            </w:pPr>
            <w:r/>
            <w:r>
              <w:rPr>
                <w:i w:val="0"/>
                <w:sz w:val="18"/>
              </w:rPr>
              <w:t>Sections 3.1, 4.1</w:t>
            </w:r>
          </w:p>
        </w:tc>
      </w:tr>
    </w:tbl>
    <w:p/>
    <w:p>
      <w:pPr>
        <w:spacing w:after="200"/>
        <w:jc w:val="both"/>
      </w:pPr>
      <w:r>
        <w:rPr>
          <w:b w:val="0"/>
          <w:i w:val="0"/>
          <w:sz w:val="21"/>
        </w:rPr>
        <w:t>We recognise that a failed replication may not be the outcome the reviewer hoped this test would produce, and that it constrains the claims the paper can make. We would nonetheless argue that a study which reports where a signal is present, where it is absent, and where it fails to transfer is more useful to this literature than one which reports only the arm that worked. If the editors judge that the contribution is now too limited for the journal, we would rather that judgement be made on an accurate account than on a favourable one.</w:t>
      </w:r>
    </w:p>
    <w:p>
      <w:pPr>
        <w:pStyle w:val="Heading1"/>
      </w:pPr>
      <w:r>
        <w:t>Closing</w:t>
      </w:r>
    </w:p>
    <w:p>
      <w:pPr>
        <w:spacing w:after="120"/>
        <w:jc w:val="both"/>
      </w:pPr>
      <w:r>
        <w:rPr>
          <w:b w:val="0"/>
          <w:i w:val="0"/>
          <w:sz w:val="21"/>
        </w:rPr>
        <w:t>The reviewers' central objection was correct, and acting on it changed both the design and the result. We are grateful for the persistence of the reports, and we hope the revised manuscript now presents a coherent account in which each analytical step has a stated purpose and the negative and positive findings are equally legible.</w:t>
      </w:r>
    </w:p>
    <w:p>
      <w:pPr>
        <w:spacing w:after="40"/>
        <w:jc w:val="both"/>
      </w:pPr>
      <w:r>
        <w:rPr>
          <w:b/>
          <w:i w:val="0"/>
          <w:sz w:val="21"/>
        </w:rPr>
        <w:t>Siddalingaiah H S, MD</w:t>
      </w:r>
    </w:p>
    <w:p>
      <w:pPr>
        <w:spacing w:after="160"/>
        <w:jc w:val="both"/>
      </w:pPr>
      <w:r>
        <w:rPr>
          <w:b w:val="0"/>
          <w:i w:val="0"/>
          <w:sz w:val="20"/>
        </w:rPr>
        <w:t>Professor, Department of Community Medicine, Shridevi Institute of Medical Sciences and Research Hospital, Tumkur, Karnataka, India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