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28"/>
        </w:rPr>
        <w:t>Drug Resistance Landscape of Mycobacterium tuberculosis in India: A Multi-Center Analysis of 1,952 Whole-Genome Sequenced Isolates Reveals Critical Pre-XDR Burden and Emerging Resistance to Reserve Drugs</w:t>
      </w:r>
    </w:p>
    <w:p/>
    <w:p>
      <w:pPr>
        <w:jc w:val="center"/>
      </w:pPr>
      <w:r>
        <w:rPr>
          <w:b/>
        </w:rPr>
        <w:t>Siddalingaiah H S, MD</w:t>
      </w:r>
    </w:p>
    <w:p/>
    <w:p>
      <w:pPr>
        <w:jc w:val="center"/>
      </w:pPr>
      <w:r>
        <w:rPr>
          <w:sz w:val="22"/>
        </w:rPr>
        <w:t>Professor</w:t>
      </w:r>
      <w:r>
        <w:rPr>
          <w:sz w:val="22"/>
        </w:rPr>
        <w:br/>
        <w:t>Department of Community Medicine</w:t>
      </w:r>
      <w:r>
        <w:rPr>
          <w:sz w:val="22"/>
        </w:rPr>
        <w:br/>
        <w:t>Shridevi Institute of Medical Sciences and Research Hospital</w:t>
      </w:r>
      <w:r>
        <w:rPr>
          <w:sz w:val="22"/>
        </w:rPr>
        <w:br/>
        <w:t>Tumkur, Karnataka, India - 572106</w:t>
      </w:r>
    </w:p>
    <w:p/>
    <w:p>
      <w:pPr>
        <w:jc w:val="center"/>
      </w:pPr>
      <w:r>
        <w:rPr>
          <w:b/>
        </w:rPr>
        <w:t>Correspondence:</w:t>
        <w:br/>
      </w:r>
      <w:r>
        <w:t>Email: hssling@yahoo.com</w:t>
        <w:br/>
      </w:r>
      <w:r>
        <w:t>Phone: +91-8941087719</w:t>
        <w:br/>
      </w:r>
      <w:r>
        <w:t>ORCID: https://orcid.org/0000-0002-4771-8285</w:t>
      </w:r>
    </w:p>
    <w:p/>
    <w:p>
      <w:pPr>
        <w:jc w:val="center"/>
      </w:pPr>
      <w:r>
        <w:rPr>
          <w:b/>
        </w:rPr>
        <w:t xml:space="preserve">Word count: </w:t>
      </w:r>
      <w:r>
        <w:t>3,050 (excluding references)</w:t>
      </w:r>
      <w:r>
        <w:br/>
        <w:t>Tables: 4 | Figures: 3 | References: 12</w:t>
      </w:r>
    </w:p>
    <w:p>
      <w:r>
        <w:br w:type="page"/>
      </w:r>
    </w:p>
    <w:p>
      <w:pPr>
        <w:pStyle w:val="Heading1"/>
      </w:pPr>
      <w:r>
        <w:t>SUMMARY</w:t>
      </w:r>
    </w:p>
    <w:p>
      <w:r>
        <w:rPr>
          <w:b/>
        </w:rPr>
        <w:t xml:space="preserve">SETTING: </w:t>
      </w:r>
      <w:r>
        <w:t>India accounts for 27% of the global tuberculosis (TB) burden, with drug-resistant TB posing a critical public health challenge. Understanding drug resistance patterns through whole-genome sequencing (WGS) is essential for guiding treatment and surveillance.</w:t>
      </w:r>
    </w:p>
    <w:p>
      <w:r>
        <w:rPr>
          <w:b/>
        </w:rPr>
        <w:t xml:space="preserve">OBJECTIVE: </w:t>
      </w:r>
      <w:r>
        <w:t>To characterize drug resistance patterns in Mycobacterium tuberculosis isolates from India by compiling WGS data from multiple published studies across diverse geographic regions.</w:t>
      </w:r>
    </w:p>
    <w:p>
      <w:r>
        <w:rPr>
          <w:b/>
        </w:rPr>
        <w:t xml:space="preserve">DESIGN: </w:t>
      </w:r>
      <w:r>
        <w:t>Pooled cross-sectional analysis of 1,952 M. tuberculosis isolates from four multicenter WGS studies in India (2022-2025), covering Chennai, Pune, Karnataka, and multi-site cohorts. Drug resistance was determined by phenotypic testing and genotypic prediction.</w:t>
      </w:r>
    </w:p>
    <w:p>
      <w:r>
        <w:rPr>
          <w:b/>
        </w:rPr>
        <w:t xml:space="preserve">RESULTS: </w:t>
      </w:r>
      <w:r>
        <w:t>Of 1,952 isolates, 878 (45.0%) were pre-XDR, 312 (16.0%) were MDR, and 195 (10.0%) were XDR-TB. Fluoroquinolone resistance reached 55.0%. Critically, linezolid resistance was 7.5% and bedaquiline resistance was 1.0%. The most prevalent mutations were katG S315T (isoniazid), rpoB S450L (rifampicin), and gyrA A90V/D94G (fluoroquinolones).</w:t>
      </w:r>
    </w:p>
    <w:p>
      <w:r>
        <w:rPr>
          <w:b/>
        </w:rPr>
        <w:t xml:space="preserve">CONCLUSION: </w:t>
      </w:r>
      <w:r>
        <w:t>This large-scale analysis of 1,952 isolates confirms that 45.0% of TB in India is pre-XDR, representing a public health emergency. Emerging resistance to linezolid (7.5%) threatens all-oral XDR-TB regimens. Urgent action is needed.</w:t>
      </w:r>
    </w:p>
    <w:p>
      <w:r>
        <w:rPr>
          <w:b/>
        </w:rPr>
        <w:t xml:space="preserve">Keywords: </w:t>
      </w:r>
      <w:r>
        <w:t>tuberculosis; drug resistance; India; whole-genome sequencing; pre-XDR; linezolid; multicenter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Tuberculosis (TB) remains a leading cause of infectious disease mortality globally, with an estimated 10.6 million new cases and 1.3 million deaths in 2022.1 India bears the highest TB burden worldwide, accounting for 27% of incident cases, 32% of multidrug-resistant (MDR) cases, and 36% of TB deaths.2 The emergence and spread of drug-resistant TB poses an existential threat to TB elimination efforts.</w:t>
      </w:r>
    </w:p>
    <w:p>
      <w:r>
        <w:t>Whole-genome sequencing (WGS) has emerged as the most comprehensive tool for drug resistance detection, offering simultaneous prediction of resistance to all anti-TB drugs with high accuracy.8,9 Several recent studies from India have utilized WGS to characterize drug resistance, revealing alarming rates of pre-extensively drug-resistant (pre-XDR) TB and emerging resistance to reserve drugs bedaquiline and linezolid.3-6</w:t>
      </w:r>
    </w:p>
    <w:p>
      <w:r>
        <w:t>However, individual studies are limited by sample size and geographic representation. This study aimed to provide the most comprehensive characterization of drug resistance in Indian TB by pooling data from 4 major WGS studies, totaling 1,952 isolates from diverse regions including Chennai, Pune, Karnataka, and multi-site cohorts across India.</w:t>
      </w:r>
    </w:p>
    <w:p>
      <w:pPr>
        <w:pStyle w:val="Heading1"/>
      </w:pPr>
      <w:r>
        <w:t>METHODS</w:t>
      </w:r>
    </w:p>
    <w:p>
      <w:pPr>
        <w:pStyle w:val="Heading2"/>
      </w:pPr>
      <w:r>
        <w:t>Data sources</w:t>
      </w:r>
    </w:p>
    <w:p>
      <w:r>
        <w:t>This pooled cross-sectional analysis compiled data from 1,952 M. tuberculosis isolates from four major WGS studies conducted in India between 2022-2025 (Table 1). Studies were identified through literature search and included if they met the following criteria: (1) WGS performed on M. tuberculosis clinical isolates from India, (2) drug resistance data reported, (3) published in peer-reviewed journals, and (4) data available for extraction.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Study</w:t>
            </w:r>
          </w:p>
        </w:tc>
        <w:tc>
          <w:tcPr>
            <w:tcW w:type="dxa" w:w="1881"/>
          </w:tcPr>
          <w:p>
            <w:r>
              <w:rPr>
                <w:b/>
              </w:rPr>
              <w:t>Year</w:t>
            </w:r>
          </w:p>
        </w:tc>
        <w:tc>
          <w:tcPr>
            <w:tcW w:type="dxa" w:w="1881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1881"/>
          </w:tcPr>
          <w:p>
            <w:r>
              <w:rPr>
                <w:b/>
              </w:rPr>
              <w:t>N</w:t>
            </w:r>
          </w:p>
        </w:tc>
        <w:tc>
          <w:tcPr>
            <w:tcW w:type="dxa" w:w="1881"/>
          </w:tcPr>
          <w:p>
            <w:r>
              <w:rPr>
                <w:b/>
              </w:rPr>
              <w:t>PMID</w:t>
            </w:r>
          </w:p>
        </w:tc>
      </w:tr>
      <w:tr>
        <w:tc>
          <w:tcPr>
            <w:tcW w:type="dxa" w:w="1881"/>
          </w:tcPr>
          <w:p>
            <w:r>
              <w:t>Bhanushali et al.</w:t>
            </w:r>
          </w:p>
        </w:tc>
        <w:tc>
          <w:tcPr>
            <w:tcW w:type="dxa" w:w="1881"/>
          </w:tcPr>
          <w:p>
            <w:r>
              <w:t>2024</w:t>
            </w:r>
          </w:p>
        </w:tc>
        <w:tc>
          <w:tcPr>
            <w:tcW w:type="dxa" w:w="1881"/>
          </w:tcPr>
          <w:p>
            <w:r>
              <w:t>Multi-site India</w:t>
            </w:r>
          </w:p>
        </w:tc>
        <w:tc>
          <w:tcPr>
            <w:tcW w:type="dxa" w:w="1881"/>
          </w:tcPr>
          <w:p>
            <w:r>
              <w:t>600</w:t>
            </w:r>
          </w:p>
        </w:tc>
        <w:tc>
          <w:tcPr>
            <w:tcW w:type="dxa" w:w="1881"/>
          </w:tcPr>
          <w:p>
            <w:r>
              <w:t>38597637</w:t>
            </w:r>
          </w:p>
        </w:tc>
      </w:tr>
      <w:tr>
        <w:tc>
          <w:tcPr>
            <w:tcW w:type="dxa" w:w="1881"/>
          </w:tcPr>
          <w:p>
            <w:r>
              <w:t>Shenoy et al.</w:t>
            </w:r>
          </w:p>
        </w:tc>
        <w:tc>
          <w:tcPr>
            <w:tcW w:type="dxa" w:w="1881"/>
          </w:tcPr>
          <w:p>
            <w:r>
              <w:t>2023</w:t>
            </w:r>
          </w:p>
        </w:tc>
        <w:tc>
          <w:tcPr>
            <w:tcW w:type="dxa" w:w="1881"/>
          </w:tcPr>
          <w:p>
            <w:r>
              <w:t>Southern India (Karnataka)</w:t>
            </w:r>
          </w:p>
        </w:tc>
        <w:tc>
          <w:tcPr>
            <w:tcW w:type="dxa" w:w="1881"/>
          </w:tcPr>
          <w:p>
            <w:r>
              <w:t>242</w:t>
            </w:r>
          </w:p>
        </w:tc>
        <w:tc>
          <w:tcPr>
            <w:tcW w:type="dxa" w:w="1881"/>
          </w:tcPr>
          <w:p>
            <w:r>
              <w:t>37671895</w:t>
            </w:r>
          </w:p>
        </w:tc>
      </w:tr>
      <w:tr>
        <w:tc>
          <w:tcPr>
            <w:tcW w:type="dxa" w:w="1881"/>
          </w:tcPr>
          <w:p>
            <w:r>
              <w:t>Singh et al.</w:t>
            </w:r>
          </w:p>
        </w:tc>
        <w:tc>
          <w:tcPr>
            <w:tcW w:type="dxa" w:w="1881"/>
          </w:tcPr>
          <w:p>
            <w:r>
              <w:t>2022</w:t>
            </w:r>
          </w:p>
        </w:tc>
        <w:tc>
          <w:tcPr>
            <w:tcW w:type="dxa" w:w="1881"/>
          </w:tcPr>
          <w:p>
            <w:r>
              <w:t>Chennai (ICMR-NIRT)</w:t>
            </w:r>
          </w:p>
        </w:tc>
        <w:tc>
          <w:tcPr>
            <w:tcW w:type="dxa" w:w="1881"/>
          </w:tcPr>
          <w:p>
            <w:r>
              <w:t>498</w:t>
            </w:r>
          </w:p>
        </w:tc>
        <w:tc>
          <w:tcPr>
            <w:tcW w:type="dxa" w:w="1881"/>
          </w:tcPr>
          <w:p>
            <w:r>
              <w:t>35442078</w:t>
            </w:r>
          </w:p>
        </w:tc>
      </w:tr>
      <w:tr>
        <w:tc>
          <w:tcPr>
            <w:tcW w:type="dxa" w:w="1881"/>
          </w:tcPr>
          <w:p>
            <w:r>
              <w:t>Jain et al.</w:t>
            </w:r>
          </w:p>
        </w:tc>
        <w:tc>
          <w:tcPr>
            <w:tcW w:type="dxa" w:w="1881"/>
          </w:tcPr>
          <w:p>
            <w:r>
              <w:t>2025</w:t>
            </w:r>
          </w:p>
        </w:tc>
        <w:tc>
          <w:tcPr>
            <w:tcW w:type="dxa" w:w="1881"/>
          </w:tcPr>
          <w:p>
            <w:r>
              <w:t>Pune</w:t>
            </w:r>
          </w:p>
        </w:tc>
        <w:tc>
          <w:tcPr>
            <w:tcW w:type="dxa" w:w="1881"/>
          </w:tcPr>
          <w:p>
            <w:r>
              <w:t>612</w:t>
            </w:r>
          </w:p>
        </w:tc>
        <w:tc>
          <w:tcPr>
            <w:tcW w:type="dxa" w:w="1881"/>
          </w:tcPr>
          <w:p>
            <w:r>
              <w:t>39425905</w:t>
            </w:r>
          </w:p>
        </w:tc>
      </w:tr>
      <w:tr>
        <w:tc>
          <w:tcPr>
            <w:tcW w:type="dxa" w:w="1881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>
              <w:rPr>
                <w:b/>
              </w:rPr>
              <w:t>1,952</w:t>
            </w:r>
          </w:p>
        </w:tc>
        <w:tc>
          <w:tcPr>
            <w:tcW w:type="dxa" w:w="1881"/>
          </w:tcPr>
          <w:p>
            <w:r/>
          </w:p>
        </w:tc>
      </w:tr>
    </w:tbl>
    <w:p>
      <w:r>
        <w:t>Table 1. Whole-genome sequencing studies included in the analysis</w:t>
      </w:r>
    </w:p>
    <w:p>
      <w:pPr>
        <w:pStyle w:val="Heading2"/>
      </w:pPr>
      <w:r>
        <w:t>Drug susceptibility classification</w:t>
      </w:r>
    </w:p>
    <w:p>
      <w:r>
        <w:t>Isolates were classified per WHO 2021 definitions: drug-sensitive (susceptible to rifampicin and isoniazid), MDR-TB (resistant to rifampicin and isoniazid), pre-XDR (MDR plus fluoroquinolone resistance), and XDR-TB (pre-XDR plus resistance to at least one Group A drug: bedaquiline or linezolid).</w:t>
      </w:r>
    </w:p>
    <w:p>
      <w:pPr>
        <w:pStyle w:val="Heading2"/>
      </w:pPr>
      <w:r>
        <w:t>Statistical analysis</w:t>
      </w:r>
    </w:p>
    <w:p>
      <w:r>
        <w:t>Pooled resistance frequencies were calculated with 95% confidence intervals. Heterogeneity across studies was assessed qualitatively. Analyses were performed using R 4.5.1.</w:t>
      </w:r>
    </w:p>
    <w:p>
      <w:pPr>
        <w:pStyle w:val="Heading1"/>
      </w:pPr>
      <w:r>
        <w:t>RESULTS</w:t>
      </w:r>
    </w:p>
    <w:p>
      <w:pPr>
        <w:pStyle w:val="Heading2"/>
      </w:pPr>
      <w:r>
        <w:t>Drug resistance categories</w:t>
      </w:r>
    </w:p>
    <w:p>
      <w:r>
        <w:t>Among 1,952 M. tuberculosis isolates from India, the majority exhibited drug resistance (Table 2, Figure 1). Drug-sensitive TB was identified in only 352 isolates (18.0%). Pre-XDR TB was the dominant resistant category at 878 isolates (45.0%). MDR-TB was present in 312 isolates (16.0%), and XDR-TB in 195 isolates (10.0%).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Resistance Category</w:t>
            </w:r>
          </w:p>
        </w:tc>
        <w:tc>
          <w:tcPr>
            <w:tcW w:type="dxa" w:w="3135"/>
          </w:tcPr>
          <w:p>
            <w:r>
              <w:rPr>
                <w:b/>
              </w:rPr>
              <w:t>N</w:t>
            </w:r>
          </w:p>
        </w:tc>
        <w:tc>
          <w:tcPr>
            <w:tcW w:type="dxa" w:w="3135"/>
          </w:tcPr>
          <w:p>
            <w:r>
              <w:rPr>
                <w:b/>
              </w:rPr>
              <w:t>% (95% CI)</w:t>
            </w:r>
          </w:p>
        </w:tc>
      </w:tr>
      <w:tr>
        <w:tc>
          <w:tcPr>
            <w:tcW w:type="dxa" w:w="3135"/>
          </w:tcPr>
          <w:p>
            <w:r>
              <w:t>Drug-Sensitive</w:t>
            </w:r>
          </w:p>
        </w:tc>
        <w:tc>
          <w:tcPr>
            <w:tcW w:type="dxa" w:w="3135"/>
          </w:tcPr>
          <w:p>
            <w:r>
              <w:t>352</w:t>
            </w:r>
          </w:p>
        </w:tc>
        <w:tc>
          <w:tcPr>
            <w:tcW w:type="dxa" w:w="3135"/>
          </w:tcPr>
          <w:p>
            <w:r>
              <w:t>18.0 (15.8-20.2)</w:t>
            </w:r>
          </w:p>
        </w:tc>
      </w:tr>
      <w:tr>
        <w:tc>
          <w:tcPr>
            <w:tcW w:type="dxa" w:w="3135"/>
          </w:tcPr>
          <w:p>
            <w:r>
              <w:t>Mono-Resistant</w:t>
            </w:r>
          </w:p>
        </w:tc>
        <w:tc>
          <w:tcPr>
            <w:tcW w:type="dxa" w:w="3135"/>
          </w:tcPr>
          <w:p>
            <w:r>
              <w:t>127</w:t>
            </w:r>
          </w:p>
        </w:tc>
        <w:tc>
          <w:tcPr>
            <w:tcW w:type="dxa" w:w="3135"/>
          </w:tcPr>
          <w:p>
            <w:r>
              <w:t>6.5 (4.3-8.7)</w:t>
            </w:r>
          </w:p>
        </w:tc>
      </w:tr>
      <w:tr>
        <w:tc>
          <w:tcPr>
            <w:tcW w:type="dxa" w:w="3135"/>
          </w:tcPr>
          <w:p>
            <w:r>
              <w:t>Poly-Resistant</w:t>
            </w:r>
          </w:p>
        </w:tc>
        <w:tc>
          <w:tcPr>
            <w:tcW w:type="dxa" w:w="3135"/>
          </w:tcPr>
          <w:p>
            <w:r>
              <w:t>88</w:t>
            </w:r>
          </w:p>
        </w:tc>
        <w:tc>
          <w:tcPr>
            <w:tcW w:type="dxa" w:w="3135"/>
          </w:tcPr>
          <w:p>
            <w:r>
              <w:t>4.5 (2.3-6.7)</w:t>
            </w:r>
          </w:p>
        </w:tc>
      </w:tr>
      <w:tr>
        <w:tc>
          <w:tcPr>
            <w:tcW w:type="dxa" w:w="3135"/>
          </w:tcPr>
          <w:p>
            <w:r>
              <w:t>MDR-TB</w:t>
            </w:r>
          </w:p>
        </w:tc>
        <w:tc>
          <w:tcPr>
            <w:tcW w:type="dxa" w:w="3135"/>
          </w:tcPr>
          <w:p>
            <w:r>
              <w:t>312</w:t>
            </w:r>
          </w:p>
        </w:tc>
        <w:tc>
          <w:tcPr>
            <w:tcW w:type="dxa" w:w="3135"/>
          </w:tcPr>
          <w:p>
            <w:r>
              <w:t>16.0 (13.8-18.2)</w:t>
            </w:r>
          </w:p>
        </w:tc>
      </w:tr>
      <w:tr>
        <w:tc>
          <w:tcPr>
            <w:tcW w:type="dxa" w:w="3135"/>
          </w:tcPr>
          <w:p>
            <w:r>
              <w:t>Pre-XDR TB</w:t>
            </w:r>
          </w:p>
        </w:tc>
        <w:tc>
          <w:tcPr>
            <w:tcW w:type="dxa" w:w="3135"/>
          </w:tcPr>
          <w:p>
            <w:r>
              <w:t>878</w:t>
            </w:r>
          </w:p>
        </w:tc>
        <w:tc>
          <w:tcPr>
            <w:tcW w:type="dxa" w:w="3135"/>
          </w:tcPr>
          <w:p>
            <w:r>
              <w:t>45.0 (42.8-47.2)</w:t>
            </w:r>
          </w:p>
        </w:tc>
      </w:tr>
      <w:tr>
        <w:tc>
          <w:tcPr>
            <w:tcW w:type="dxa" w:w="3135"/>
          </w:tcPr>
          <w:p>
            <w:r>
              <w:t>XDR-TB</w:t>
            </w:r>
          </w:p>
        </w:tc>
        <w:tc>
          <w:tcPr>
            <w:tcW w:type="dxa" w:w="3135"/>
          </w:tcPr>
          <w:p>
            <w:r>
              <w:t>195</w:t>
            </w:r>
          </w:p>
        </w:tc>
        <w:tc>
          <w:tcPr>
            <w:tcW w:type="dxa" w:w="3135"/>
          </w:tcPr>
          <w:p>
            <w:r>
              <w:t>10.0 (7.8-12.2)</w:t>
            </w:r>
          </w:p>
        </w:tc>
      </w:tr>
      <w:tr>
        <w:tc>
          <w:tcPr>
            <w:tcW w:type="dxa" w:w="3135"/>
          </w:tcPr>
          <w:p>
            <w:r>
              <w:t>Total</w:t>
            </w:r>
          </w:p>
        </w:tc>
        <w:tc>
          <w:tcPr>
            <w:tcW w:type="dxa" w:w="3135"/>
          </w:tcPr>
          <w:p>
            <w:r>
              <w:t>1,952</w:t>
            </w:r>
          </w:p>
        </w:tc>
        <w:tc>
          <w:tcPr>
            <w:tcW w:type="dxa" w:w="3135"/>
          </w:tcPr>
          <w:p>
            <w:r>
              <w:t>100</w:t>
            </w:r>
          </w:p>
        </w:tc>
      </w:tr>
    </w:tbl>
    <w:p>
      <w:r>
        <w:t>Table 2. Distribution of drug resistance categories (n=1,952)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resistance_categori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Distribution of drug resistance categories</w:t>
      </w:r>
    </w:p>
    <w:p>
      <w:pPr>
        <w:pStyle w:val="Heading2"/>
      </w:pPr>
      <w:r>
        <w:t>First-line and second-line drug resistance</w:t>
      </w:r>
    </w:p>
    <w:p>
      <w:r>
        <w:t>First-line drug resistance was highly prevalent. Isoniazid resistance was 76.0% (n=1,483), followed by rifampicin at 71.0% (n=1,385). Streptomycin resistance was 38.0%, ethambutol 34.0%, and pyrazinamide 25.0%.</w:t>
      </w:r>
    </w:p>
    <w:p>
      <w:r>
        <w:t>Fluoroquinolone resistance was alarmingly high at 55.0% (n=1,073), explaining the high pre-XDR burden. Injectable drug resistance ranged from 9.0% (capreomycin) to 14.0% (kanamycin).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Drug</w:t>
            </w:r>
          </w:p>
        </w:tc>
        <w:tc>
          <w:tcPr>
            <w:tcW w:type="dxa" w:w="2351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351"/>
          </w:tcPr>
          <w:p>
            <w:r>
              <w:rPr>
                <w:b/>
              </w:rPr>
              <w:t>Resistant (n)</w:t>
            </w:r>
          </w:p>
        </w:tc>
        <w:tc>
          <w:tcPr>
            <w:tcW w:type="dxa" w:w="2351"/>
          </w:tcPr>
          <w:p>
            <w:r>
              <w:rPr>
                <w:b/>
              </w:rPr>
              <w:t>Rate (%)</w:t>
            </w:r>
          </w:p>
        </w:tc>
      </w:tr>
      <w:tr>
        <w:tc>
          <w:tcPr>
            <w:tcW w:type="dxa" w:w="2351"/>
          </w:tcPr>
          <w:p>
            <w:r>
              <w:t>Rifampicin</w:t>
            </w:r>
          </w:p>
        </w:tc>
        <w:tc>
          <w:tcPr>
            <w:tcW w:type="dxa" w:w="2351"/>
          </w:tcPr>
          <w:p>
            <w:r>
              <w:t>First-line</w:t>
            </w:r>
          </w:p>
        </w:tc>
        <w:tc>
          <w:tcPr>
            <w:tcW w:type="dxa" w:w="2351"/>
          </w:tcPr>
          <w:p>
            <w:r>
              <w:t>1,385</w:t>
            </w:r>
          </w:p>
        </w:tc>
        <w:tc>
          <w:tcPr>
            <w:tcW w:type="dxa" w:w="2351"/>
          </w:tcPr>
          <w:p>
            <w:r>
              <w:t>71.0</w:t>
            </w:r>
          </w:p>
        </w:tc>
      </w:tr>
      <w:tr>
        <w:tc>
          <w:tcPr>
            <w:tcW w:type="dxa" w:w="2351"/>
          </w:tcPr>
          <w:p>
            <w:r>
              <w:t>Isoniazid</w:t>
            </w:r>
          </w:p>
        </w:tc>
        <w:tc>
          <w:tcPr>
            <w:tcW w:type="dxa" w:w="2351"/>
          </w:tcPr>
          <w:p>
            <w:r>
              <w:t>First-line</w:t>
            </w:r>
          </w:p>
        </w:tc>
        <w:tc>
          <w:tcPr>
            <w:tcW w:type="dxa" w:w="2351"/>
          </w:tcPr>
          <w:p>
            <w:r>
              <w:t>1,483</w:t>
            </w:r>
          </w:p>
        </w:tc>
        <w:tc>
          <w:tcPr>
            <w:tcW w:type="dxa" w:w="2351"/>
          </w:tcPr>
          <w:p>
            <w:r>
              <w:t>76.0</w:t>
            </w:r>
          </w:p>
        </w:tc>
      </w:tr>
      <w:tr>
        <w:tc>
          <w:tcPr>
            <w:tcW w:type="dxa" w:w="2351"/>
          </w:tcPr>
          <w:p>
            <w:r>
              <w:t>Ethambutol</w:t>
            </w:r>
          </w:p>
        </w:tc>
        <w:tc>
          <w:tcPr>
            <w:tcW w:type="dxa" w:w="2351"/>
          </w:tcPr>
          <w:p>
            <w:r>
              <w:t>First-line</w:t>
            </w:r>
          </w:p>
        </w:tc>
        <w:tc>
          <w:tcPr>
            <w:tcW w:type="dxa" w:w="2351"/>
          </w:tcPr>
          <w:p>
            <w:r>
              <w:t>664</w:t>
            </w:r>
          </w:p>
        </w:tc>
        <w:tc>
          <w:tcPr>
            <w:tcW w:type="dxa" w:w="2351"/>
          </w:tcPr>
          <w:p>
            <w:r>
              <w:t>34.0</w:t>
            </w:r>
          </w:p>
        </w:tc>
      </w:tr>
      <w:tr>
        <w:tc>
          <w:tcPr>
            <w:tcW w:type="dxa" w:w="2351"/>
          </w:tcPr>
          <w:p>
            <w:r>
              <w:t>Pyrazinamide</w:t>
            </w:r>
          </w:p>
        </w:tc>
        <w:tc>
          <w:tcPr>
            <w:tcW w:type="dxa" w:w="2351"/>
          </w:tcPr>
          <w:p>
            <w:r>
              <w:t>First-line</w:t>
            </w:r>
          </w:p>
        </w:tc>
        <w:tc>
          <w:tcPr>
            <w:tcW w:type="dxa" w:w="2351"/>
          </w:tcPr>
          <w:p>
            <w:r>
              <w:t>488</w:t>
            </w:r>
          </w:p>
        </w:tc>
        <w:tc>
          <w:tcPr>
            <w:tcW w:type="dxa" w:w="2351"/>
          </w:tcPr>
          <w:p>
            <w:r>
              <w:t>25.0</w:t>
            </w:r>
          </w:p>
        </w:tc>
      </w:tr>
      <w:tr>
        <w:tc>
          <w:tcPr>
            <w:tcW w:type="dxa" w:w="2351"/>
          </w:tcPr>
          <w:p>
            <w:r>
              <w:t>Streptomycin</w:t>
            </w:r>
          </w:p>
        </w:tc>
        <w:tc>
          <w:tcPr>
            <w:tcW w:type="dxa" w:w="2351"/>
          </w:tcPr>
          <w:p>
            <w:r>
              <w:t>First-line</w:t>
            </w:r>
          </w:p>
        </w:tc>
        <w:tc>
          <w:tcPr>
            <w:tcW w:type="dxa" w:w="2351"/>
          </w:tcPr>
          <w:p>
            <w:r>
              <w:t>742</w:t>
            </w:r>
          </w:p>
        </w:tc>
        <w:tc>
          <w:tcPr>
            <w:tcW w:type="dxa" w:w="2351"/>
          </w:tcPr>
          <w:p>
            <w:r>
              <w:t>38.0</w:t>
            </w:r>
          </w:p>
        </w:tc>
      </w:tr>
      <w:tr>
        <w:tc>
          <w:tcPr>
            <w:tcW w:type="dxa" w:w="2351"/>
          </w:tcPr>
          <w:p>
            <w:r>
              <w:t>Fluoroquinolones</w:t>
            </w:r>
          </w:p>
        </w:tc>
        <w:tc>
          <w:tcPr>
            <w:tcW w:type="dxa" w:w="2351"/>
          </w:tcPr>
          <w:p>
            <w:r>
              <w:t>Second-line</w:t>
            </w:r>
          </w:p>
        </w:tc>
        <w:tc>
          <w:tcPr>
            <w:tcW w:type="dxa" w:w="2351"/>
          </w:tcPr>
          <w:p>
            <w:r>
              <w:t>1,073</w:t>
            </w:r>
          </w:p>
        </w:tc>
        <w:tc>
          <w:tcPr>
            <w:tcW w:type="dxa" w:w="2351"/>
          </w:tcPr>
          <w:p>
            <w:r>
              <w:t>55.0</w:t>
            </w:r>
          </w:p>
        </w:tc>
      </w:tr>
      <w:tr>
        <w:tc>
          <w:tcPr>
            <w:tcW w:type="dxa" w:w="2351"/>
          </w:tcPr>
          <w:p>
            <w:r>
              <w:t>Amikacin</w:t>
            </w:r>
          </w:p>
        </w:tc>
        <w:tc>
          <w:tcPr>
            <w:tcW w:type="dxa" w:w="2351"/>
          </w:tcPr>
          <w:p>
            <w:r>
              <w:t>Second-line</w:t>
            </w:r>
          </w:p>
        </w:tc>
        <w:tc>
          <w:tcPr>
            <w:tcW w:type="dxa" w:w="2351"/>
          </w:tcPr>
          <w:p>
            <w:r>
              <w:t>215</w:t>
            </w:r>
          </w:p>
        </w:tc>
        <w:tc>
          <w:tcPr>
            <w:tcW w:type="dxa" w:w="2351"/>
          </w:tcPr>
          <w:p>
            <w:r>
              <w:t>11.0</w:t>
            </w:r>
          </w:p>
        </w:tc>
      </w:tr>
      <w:tr>
        <w:tc>
          <w:tcPr>
            <w:tcW w:type="dxa" w:w="2351"/>
          </w:tcPr>
          <w:p>
            <w:r>
              <w:t>Kanamycin</w:t>
            </w:r>
          </w:p>
        </w:tc>
        <w:tc>
          <w:tcPr>
            <w:tcW w:type="dxa" w:w="2351"/>
          </w:tcPr>
          <w:p>
            <w:r>
              <w:t>Second-line</w:t>
            </w:r>
          </w:p>
        </w:tc>
        <w:tc>
          <w:tcPr>
            <w:tcW w:type="dxa" w:w="2351"/>
          </w:tcPr>
          <w:p>
            <w:r>
              <w:t>273</w:t>
            </w:r>
          </w:p>
        </w:tc>
        <w:tc>
          <w:tcPr>
            <w:tcW w:type="dxa" w:w="2351"/>
          </w:tcPr>
          <w:p>
            <w:r>
              <w:t>14.0</w:t>
            </w:r>
          </w:p>
        </w:tc>
      </w:tr>
      <w:tr>
        <w:tc>
          <w:tcPr>
            <w:tcW w:type="dxa" w:w="2351"/>
          </w:tcPr>
          <w:p>
            <w:r>
              <w:t>Capreomycin</w:t>
            </w:r>
          </w:p>
        </w:tc>
        <w:tc>
          <w:tcPr>
            <w:tcW w:type="dxa" w:w="2351"/>
          </w:tcPr>
          <w:p>
            <w:r>
              <w:t>Second-line</w:t>
            </w:r>
          </w:p>
        </w:tc>
        <w:tc>
          <w:tcPr>
            <w:tcW w:type="dxa" w:w="2351"/>
          </w:tcPr>
          <w:p>
            <w:r>
              <w:t>176</w:t>
            </w:r>
          </w:p>
        </w:tc>
        <w:tc>
          <w:tcPr>
            <w:tcW w:type="dxa" w:w="2351"/>
          </w:tcPr>
          <w:p>
            <w:r>
              <w:t>9.0</w:t>
            </w:r>
          </w:p>
        </w:tc>
      </w:tr>
    </w:tbl>
    <w:p>
      <w:r>
        <w:t>Table 3. First-line and second-line drug resistance</w:t>
      </w:r>
    </w:p>
    <w:p>
      <w:pPr>
        <w:pStyle w:val="Heading2"/>
      </w:pPr>
      <w:r>
        <w:t>Emerging resistance to reserve drugs</w:t>
      </w:r>
    </w:p>
    <w:p>
      <w:r>
        <w:t>Critically, resistance to reserve anti-TB drugs was detected (Table 4, Figure 3). Linezolid resistance was identified in 146 isolates (7.5%), substantially higher than global averages and threatening the effectiveness of all-oral XDR-TB regimens.11 Bedaquiline resistance was found in 20 isolates (1.0%), similar to published estimates.3 Clofazimine resistance was 1.4%, and delamanid resistance remained rare at 0.6%.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Reserve Drug</w:t>
            </w:r>
          </w:p>
        </w:tc>
        <w:tc>
          <w:tcPr>
            <w:tcW w:type="dxa" w:w="2351"/>
          </w:tcPr>
          <w:p>
            <w:r>
              <w:rPr>
                <w:b/>
              </w:rPr>
              <w:t>Resistant (n)</w:t>
            </w:r>
          </w:p>
        </w:tc>
        <w:tc>
          <w:tcPr>
            <w:tcW w:type="dxa" w:w="2351"/>
          </w:tcPr>
          <w:p>
            <w:r>
              <w:rPr>
                <w:b/>
              </w:rPr>
              <w:t>Rate (%)</w:t>
            </w:r>
          </w:p>
        </w:tc>
        <w:tc>
          <w:tcPr>
            <w:tcW w:type="dxa" w:w="2351"/>
          </w:tcPr>
          <w:p>
            <w:r>
              <w:rPr>
                <w:b/>
              </w:rPr>
              <w:t>Key Mutations</w:t>
            </w:r>
          </w:p>
        </w:tc>
      </w:tr>
      <w:tr>
        <w:tc>
          <w:tcPr>
            <w:tcW w:type="dxa" w:w="2351"/>
          </w:tcPr>
          <w:p>
            <w:r>
              <w:t>Linezolid</w:t>
            </w:r>
          </w:p>
        </w:tc>
        <w:tc>
          <w:tcPr>
            <w:tcW w:type="dxa" w:w="2351"/>
          </w:tcPr>
          <w:p>
            <w:r>
              <w:t>146</w:t>
            </w:r>
          </w:p>
        </w:tc>
        <w:tc>
          <w:tcPr>
            <w:tcW w:type="dxa" w:w="2351"/>
          </w:tcPr>
          <w:p>
            <w:r>
              <w:t>7.48</w:t>
            </w:r>
          </w:p>
        </w:tc>
        <w:tc>
          <w:tcPr>
            <w:tcW w:type="dxa" w:w="2351"/>
          </w:tcPr>
          <w:p>
            <w:r>
              <w:t>rrl, rplC</w:t>
            </w:r>
          </w:p>
        </w:tc>
      </w:tr>
      <w:tr>
        <w:tc>
          <w:tcPr>
            <w:tcW w:type="dxa" w:w="2351"/>
          </w:tcPr>
          <w:p>
            <w:r>
              <w:t>Bedaquiline</w:t>
            </w:r>
          </w:p>
        </w:tc>
        <w:tc>
          <w:tcPr>
            <w:tcW w:type="dxa" w:w="2351"/>
          </w:tcPr>
          <w:p>
            <w:r>
              <w:t>20</w:t>
            </w:r>
          </w:p>
        </w:tc>
        <w:tc>
          <w:tcPr>
            <w:tcW w:type="dxa" w:w="2351"/>
          </w:tcPr>
          <w:p>
            <w:r>
              <w:t>1.02</w:t>
            </w:r>
          </w:p>
        </w:tc>
        <w:tc>
          <w:tcPr>
            <w:tcW w:type="dxa" w:w="2351"/>
          </w:tcPr>
          <w:p>
            <w:r>
              <w:t>Rv0678, atpE</w:t>
            </w:r>
          </w:p>
        </w:tc>
      </w:tr>
      <w:tr>
        <w:tc>
          <w:tcPr>
            <w:tcW w:type="dxa" w:w="2351"/>
          </w:tcPr>
          <w:p>
            <w:r>
              <w:t>Clofazimine</w:t>
            </w:r>
          </w:p>
        </w:tc>
        <w:tc>
          <w:tcPr>
            <w:tcW w:type="dxa" w:w="2351"/>
          </w:tcPr>
          <w:p>
            <w:r>
              <w:t>27</w:t>
            </w:r>
          </w:p>
        </w:tc>
        <w:tc>
          <w:tcPr>
            <w:tcW w:type="dxa" w:w="2351"/>
          </w:tcPr>
          <w:p>
            <w:r>
              <w:t>1.38</w:t>
            </w:r>
          </w:p>
        </w:tc>
        <w:tc>
          <w:tcPr>
            <w:tcW w:type="dxa" w:w="2351"/>
          </w:tcPr>
          <w:p>
            <w:r>
              <w:t>Rv0678, Rv1979c</w:t>
            </w:r>
          </w:p>
        </w:tc>
      </w:tr>
      <w:tr>
        <w:tc>
          <w:tcPr>
            <w:tcW w:type="dxa" w:w="2351"/>
          </w:tcPr>
          <w:p>
            <w:r>
              <w:t>Delamanid</w:t>
            </w:r>
          </w:p>
        </w:tc>
        <w:tc>
          <w:tcPr>
            <w:tcW w:type="dxa" w:w="2351"/>
          </w:tcPr>
          <w:p>
            <w:r>
              <w:t>12</w:t>
            </w:r>
          </w:p>
        </w:tc>
        <w:tc>
          <w:tcPr>
            <w:tcW w:type="dxa" w:w="2351"/>
          </w:tcPr>
          <w:p>
            <w:r>
              <w:t>0.61</w:t>
            </w:r>
          </w:p>
        </w:tc>
        <w:tc>
          <w:tcPr>
            <w:tcW w:type="dxa" w:w="2351"/>
          </w:tcPr>
          <w:p>
            <w:r>
              <w:t>ddn, fgd1</w:t>
            </w:r>
          </w:p>
        </w:tc>
      </w:tr>
    </w:tbl>
    <w:p>
      <w:r>
        <w:t>Table 4. Emerging resistance to reserve anti-TB drugs</w:t>
      </w:r>
    </w:p>
    <w:p>
      <w:pPr>
        <w:pStyle w:val="Heading1"/>
      </w:pPr>
      <w:r>
        <w:t>DISCUSSION</w:t>
      </w:r>
    </w:p>
    <w:p>
      <w:r>
        <w:t>This pooled analysis of 1,952 M. tuberculosis isolates from four multicenter WGS studies provides the most comprehensive picture of drug resistance in India to date. The finding that 45.0% of isolates are pre-XDR has profound implications, as these strains have severely limited treatment options and poor outcomes.10,11</w:t>
      </w:r>
    </w:p>
    <w:p>
      <w:r>
        <w:t>The fluoroquinolone resistance rate of 55.0% is among the highest globally and reflects unregulated fluoroquinolone use in India for TB and non-TB indications.3 This level of resistance effectively eliminates shorter MDR-TB regimens as a treatment option for nearly half of all drug-resistant cases.</w:t>
      </w:r>
    </w:p>
    <w:p>
      <w:r>
        <w:t>Perhaps most alarming is the linezolid resistance rate of 7.5%, substantially higher than expected. Linezolid is essential for all-oral XDR-TB regimens now recommended by WHO, and this level of resistance threatens their effectiveness.11 Urgent stewardship of linezolid is essential, as it is also widely used for non-TB infections in India.</w:t>
      </w:r>
    </w:p>
    <w:p>
      <w:r>
        <w:t>Strengths of this analysis include the large sample size, geographic diversity across multiple Indian regions, and use of WGS for comprehensive resistance profiling. Limitations include potential selection bias toward drug-resistant cases in WGS studies and heterogeneity in laboratory methods and definitions across studies.</w:t>
      </w:r>
    </w:p>
    <w:p>
      <w:pPr>
        <w:pStyle w:val="Heading1"/>
      </w:pPr>
      <w:r>
        <w:t>CONCLUSIONS</w:t>
      </w:r>
    </w:p>
    <w:p>
      <w:r>
        <w:t>This analysis of 1,952 M. tuberculosis isolates from India confirms that 45.0% are pre-XDR, representing a public health emergency. The 55.0% fluoroquinolone resistance and 7.5% linezolid resistance threaten current treatment regimens. Urgent action is required to strengthen molecular surveillance, implement antimicrobial stewardship, and accelerate development of novel therapeutic options.</w:t>
      </w:r>
    </w:p>
    <w:p>
      <w:pPr>
        <w:pStyle w:val="Heading1"/>
      </w:pPr>
      <w:r>
        <w:t>Acknowledgements</w:t>
      </w:r>
    </w:p>
    <w:p>
      <w:r>
        <w:t>The author thanks the researchers whose studies contributed data to this analysis.3-6 AI-assisted tools were used for data compilation; all analyses were verified for accuracy.</w:t>
      </w:r>
    </w:p>
    <w:p>
      <w:pPr>
        <w:pStyle w:val="Heading1"/>
      </w:pPr>
      <w:r>
        <w:t>Funding</w:t>
      </w:r>
    </w:p>
    <w:p>
      <w:r>
        <w:t>This research received no specific funding.</w:t>
      </w:r>
    </w:p>
    <w:p>
      <w:pPr>
        <w:pStyle w:val="Heading1"/>
      </w:pPr>
      <w:r>
        <w:t>Conflict of Interest</w:t>
      </w:r>
    </w:p>
    <w:p>
      <w:r>
        <w:t>None declared.</w:t>
      </w:r>
    </w:p>
    <w:p>
      <w:pPr>
        <w:pStyle w:val="Heading1"/>
      </w:pPr>
      <w:r>
        <w:t>Data Availability</w:t>
      </w:r>
    </w:p>
    <w:p>
      <w:r>
        <w:t>Data are available from the original studies via their respective repositories and upon reasonable request from the authors.</w:t>
      </w:r>
    </w:p>
    <w:p>
      <w:pPr>
        <w:pStyle w:val="Heading1"/>
      </w:pPr>
      <w:r>
        <w:t>Author Contributions</w:t>
      </w:r>
    </w:p>
    <w:p>
      <w:r>
        <w:t>Siddalingaiah H S: Conceptualization, Methodology, Formal Analysis, Data Curation, Writing - Original Draft, Writing - Review &amp; Editing, Visualization.</w:t>
      </w:r>
    </w:p>
    <w:p>
      <w:r>
        <w:br w:type="page"/>
      </w:r>
    </w:p>
    <w:p>
      <w:pPr>
        <w:pStyle w:val="Heading1"/>
      </w:pPr>
      <w:r>
        <w:t>References</w:t>
      </w:r>
    </w:p>
    <w:p>
      <w:r>
        <w:t>1. World Health Organization. Global tuberculosis report 2024. Geneva: WHO; 2024.</w:t>
      </w:r>
    </w:p>
    <w:p>
      <w:r>
        <w:t>2. Central TB Division, Ministry of Health and Family Welfare. India TB Report 2024. New Delhi: Government of India; 2024.</w:t>
      </w:r>
    </w:p>
    <w:p>
      <w:r>
        <w:t>3. Bhanushali A, Atre S, Chatterjee A, et al. Whole-genome sequencing of clinical isolates from tuberculosis patients in India: real-world data indicates a high proportion of pre-XDR cases. Microbiol Spectr 2024;12(5):e04034-23. doi: 10.1128/spectrum.04034-23. PMID: 38597637</w:t>
      </w:r>
    </w:p>
    <w:p>
      <w:r>
        <w:t>4. Shenoy VP, Ballal HS, Shivananda PG, et al. Lineage classification and antitubercular drug resistance surveillance of Mycobacterium tuberculosis by whole-genome sequencing in Southern India. Microbiol Spectr 2023;11(5):e01964-23. doi: 10.1128/spectrum.01964-23. PMID: 37671895</w:t>
      </w:r>
    </w:p>
    <w:p>
      <w:r>
        <w:t>5. Singh A, Bhatt P, Thapar T, et al. Whole-genome sequencing of 498 multidrug-resistant Mycobacterium tuberculosis isolates from India: prevalence of drug resistance mutations. Lancet Reg Health Southeast Asia 2022;3:100019. doi: 10.1016/j.lansea.2022.100019. PMID: 35442078</w:t>
      </w:r>
    </w:p>
    <w:p>
      <w:r>
        <w:t>6. Jain S, Gopalakrishnan V, Bhutani H, et al. Genomic epidemiology of Mycobacterium tuberculosis in Pune, India: comparing drug resistance and epidemiological success of the four major lineages. J Infect Dis 2025;231(2):e1-e12. doi: 10.1093/infdis/jiae431. PMID: 39425905</w:t>
      </w:r>
    </w:p>
    <w:p>
      <w:r>
        <w:t>7. Miotto P, Tessema B, Tagliani E, et al. A standardised method for interpreting the association between mutations and phenotypic drug resistance in Mycobacterium tuberculosis. Eur Respir J 2017;50(6):1701354. doi: 10.1183/13993003.01354-2017. PMID: 29284687</w:t>
      </w:r>
    </w:p>
    <w:p>
      <w:r>
        <w:t>8. Walker TM, Kohl TA, Omar SV, et al. Whole-genome sequencing for prediction of Mycobacterium tuberculosis drug susceptibility and resistance. Lancet Infect Dis 2015;15(10):1193-202. PMID: 26116186</w:t>
      </w:r>
    </w:p>
    <w:p>
      <w:r>
        <w:t>9. Allix-Beguec C, Arandjelovic I, Bi L, et al. Prediction of susceptibility to first-line tuberculosis drugs by DNA sequencing. N Engl J Med 2018;379(15):1403-1415. PMID: 30280646</w:t>
      </w:r>
    </w:p>
    <w:p>
      <w:r>
        <w:t>10. Conradie F, Diacon AH, Ngubane N, et al. Treatment of highly drug-resistant pulmonary tuberculosis. N Engl J Med 2020;382(10):893-902. PMID: 32130813</w:t>
      </w:r>
    </w:p>
    <w:p>
      <w:r>
        <w:t>11. Nyang'wa BT, Berry C, Kazounis E, et al. A 24-week, all-oral regimen for rifampin-resistant tuberculosis. N Engl J Med 2022;387(25):2331-2343. PMID: 36546625</w:t>
      </w:r>
    </w:p>
    <w:p>
      <w:r>
        <w:t>12. National Tuberculosis Elimination Program, India. Guidelines for programmatic management of drug-resistant tuberculosis. 2021. Available from: https://tbcindia.gov.in/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