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09 January 2026</w:t>
      </w:r>
    </w:p>
    <w:p/>
    <w:p>
      <w:r>
        <w:t>The Editor-in-Chief</w:t>
      </w:r>
    </w:p>
    <w:p>
      <w:r>
        <w:t>International Journal of Tuberculosis and Lung Disease</w:t>
      </w:r>
    </w:p>
    <w:p>
      <w:r>
        <w:t>The Union</w:t>
      </w:r>
    </w:p>
    <w:p/>
    <w:p>
      <w:r>
        <w:rPr>
          <w:b/>
        </w:rPr>
        <w:t xml:space="preserve">Subject: </w:t>
      </w:r>
      <w:r>
        <w:t>Submission of Original Research Article</w:t>
      </w:r>
    </w:p>
    <w:p/>
    <w:p>
      <w:r>
        <w:t>Dear Editor,</w:t>
      </w:r>
    </w:p>
    <w:p/>
    <w:p>
      <w:r>
        <w:t>I am pleased to submit our manuscript entitled "Chromatin Priming Index: A Novel Quantitative Framework for Integrating Single-Cell Transcriptomic and Epigenomic Data in Tuberculosis" for consideration as an Original Article in the International Journal of Tuberculosis and Lung Disease.</w:t>
      </w:r>
    </w:p>
    <w:p>
      <w:r>
        <w:t>Understanding the epigenetic regulation of immune responses in tuberculosis (TB) is critical for developing novel therapeutic strategies. However, matched multiome profiling remains expensive and technically challenging. In this manuscript, we introduce the Chromatin Priming Index (CPI), a practical metric that enables chromatin priming assessment from single-cell RNA sequencing data using publicly available chromatin accessibility references.</w:t>
      </w:r>
    </w:p>
    <w:p>
      <w:r>
        <w:t>We validated CPI using two independent TB cohorts: bronchoalveolar lavage macrophages (GSE167232, n=10,357 cells) and peripheral blood mononuclear cells from disseminated TB patients (GSE287288, n=21,000 cells), integrated with 1.28 million peak-gene links from 10x Genomics PBMC multiome reference. Our key findings include:</w:t>
      </w:r>
    </w:p>
    <w:p>
      <w:r>
        <w:t>• CPI is consistently high (77-89%) across tissue types and cell populations</w:t>
      </w:r>
    </w:p>
    <w:p>
      <w:r>
        <w:t>• Dendritic cells show the highest CPI (89%), suggesting extensive epigenetic priming</w:t>
      </w:r>
    </w:p>
    <w:p>
      <w:r>
        <w:t>• 16 master regulator transcription factors are conserved across datasets, including CEBPB, IRF7, STAT1, and JUN</w:t>
      </w:r>
    </w:p>
    <w:p>
      <w:r>
        <w:t>• All top TFs are chromatin-primed, supporting their regulatory role in TB immunity</w:t>
      </w:r>
    </w:p>
    <w:p>
      <w:r>
        <w:t>We believe this work makes a significant contribution to the field by providing a generalizable framework for integrating single-cell transcriptomic and epigenomic data without requiring expensive multiome profiling. The methodology can be readily applied to any scRNA-seq dataset using publicly available chromatin atlases.</w:t>
      </w:r>
    </w:p>
    <w:p>
      <w:r>
        <w:t>The manuscript contains approximately 3,000 words, 3 tables, 4 figures, and 12 references. Supplementary materials include extended methods, additional tables (S1-S4), and supplementary figures (S1-S4). All analysis code is available at our GitHub repository.</w:t>
      </w:r>
    </w:p>
    <w:p>
      <w:r>
        <w:t>This manuscript has not been published previously and is not under consideration for publication elsewhere. All authors have approved the manuscript and agree with its submission to IJTLD. There are no conflicts of interest to declare. This research received no specific funding.</w:t>
      </w:r>
    </w:p>
    <w:p>
      <w:r>
        <w:t>We confirm that AI-assisted tools were used for code development and manuscript preparation. All analyses were verified and the manuscript was reviewed for scientific accuracy by the author.</w:t>
      </w:r>
    </w:p>
    <w:p>
      <w:r>
        <w:t>Thank you for considering our manuscript. We look forward to your response.</w:t>
      </w:r>
    </w:p>
    <w:p/>
    <w:p>
      <w:r>
        <w:t>Yours sincerely,</w:t>
      </w:r>
    </w:p>
    <w:p/>
    <w:p/>
    <w:p>
      <w:r>
        <w:rPr>
          <w:b/>
        </w:rPr>
        <w:t>Dr. Siddalingaiah H S</w:t>
      </w:r>
    </w:p>
    <w:p>
      <w:r>
        <w:t>MD, Professor</w:t>
      </w:r>
    </w:p>
    <w:p>
      <w:r>
        <w:t>Department of Community Medicine</w:t>
      </w:r>
    </w:p>
    <w:p>
      <w:r>
        <w:t>Shridevi Institute of Medical Sciences and Research Hospital</w:t>
      </w:r>
    </w:p>
    <w:p>
      <w:r>
        <w:t>Tumkur, Karnataka, India - 572106</w:t>
      </w:r>
    </w:p>
    <w:p>
      <w:r>
        <w:t>Email: hssling@yahoo.com</w:t>
      </w:r>
    </w:p>
    <w:p>
      <w:r>
        <w:t>Phone: +91-8941087719</w:t>
      </w:r>
    </w:p>
    <w:p>
      <w:r>
        <w:t>ORCID: https://orcid.org/0000-0002-4771-8285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