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Chromatin Priming Index: A Quantitative Metric for Integrating Single-Cell Transcriptomic and Chromatin Accessibility Data</w:t>
      </w:r>
    </w:p>
    <w:p/>
    <w:p>
      <w:pPr>
        <w:jc w:val="center"/>
      </w:pPr>
      <w:r>
        <w:rPr>
          <w:i/>
        </w:rPr>
        <w:t>Running title: Chromatin Priming Index for scRNA-seq Integration</w:t>
      </w:r>
    </w:p>
    <w:p/>
    <w:p>
      <w:pPr>
        <w:jc w:val="center"/>
      </w:pPr>
      <w:r>
        <w:t>Author Name¹*</w:t>
      </w:r>
    </w:p>
    <w:p>
      <w:pPr>
        <w:jc w:val="center"/>
      </w:pPr>
      <w:r>
        <w:rPr>
          <w:sz w:val="20"/>
        </w:rPr>
        <w:t>¹Institution Name, City, Country</w:t>
      </w:r>
    </w:p>
    <w:p/>
    <w:p>
      <w:pPr>
        <w:jc w:val="center"/>
      </w:pPr>
      <w:r>
        <w:t>*Corresponding author: email@institution.edu</w:t>
      </w:r>
    </w:p>
    <w:p/>
    <w:p>
      <w:pPr>
        <w:jc w:val="center"/>
      </w:pPr>
      <w:r>
        <w:rPr>
          <w:sz w:val="20"/>
        </w:rPr>
        <w:t>Abstract: ~250 words | Main text: ~3,500 words | Figures: 4 | Tables: 2</w:t>
      </w:r>
    </w:p>
    <w:p>
      <w:r>
        <w:br w:type="page"/>
      </w:r>
    </w:p>
    <w:p>
      <w:pPr>
        <w:pStyle w:val="Heading1"/>
      </w:pPr>
      <w:r>
        <w:t>Abstract</w:t>
      </w:r>
    </w:p>
    <w:p>
      <w:r>
        <w:rPr>
          <w:b/>
        </w:rPr>
        <w:t xml:space="preserve">Motivation: </w:t>
      </w:r>
      <w:r>
        <w:t>Understanding chromatin regulation in disease requires integration of transcriptomic and epigenomic data. However, matched single-cell multiome profiling is expensive and technically challenging, limiting the study of chromatin priming in most clinical cohorts.</w:t>
      </w:r>
    </w:p>
    <w:p>
      <w:r>
        <w:rPr>
          <w:b/>
        </w:rPr>
        <w:t xml:space="preserve">Results: </w:t>
      </w:r>
      <w:r>
        <w:t>We introduce the Chromatin Priming Index (CPI), a quantitative metric measuring the proportion of differentially expressed genes with accessible chromatin regions in a reference atlas. Using 1,283,042 peak-gene links from the 10x Genomics PBMC multiome dataset, we validated CPI across two independent tuberculosis cohorts: bronchoalveolar lavage macrophages (GSE167232, n=10,357 cells) and peripheral blood from disseminated TB patients (GSE287288, n=21,000 cells). CPI was consistently high across tissue types (BAL: 78.8%, PBMC: 84.2%) and cell types (range: 77.6-89.0%). Master regulator analysis identified 16 transcription factors conserved across datasets, including CEBPB, IRF7, STAT1, and JUN, all showing chromatin accessibility support. Dendritic cells exhibited the highest CPI (89.0%), suggesting enhanced epigenetic priming in antigen-presenting cells.</w:t>
      </w:r>
    </w:p>
    <w:p>
      <w:r>
        <w:rPr>
          <w:b/>
        </w:rPr>
        <w:t xml:space="preserve">Availability: </w:t>
      </w:r>
      <w:r>
        <w:t>Analysis code is available at [GitHub repository]. scRNA-seq data: GSE167232, GSE287288. ATAC reference: 10x Genomics PBMC multiome dataset.</w:t>
      </w:r>
    </w:p>
    <w:p>
      <w:r>
        <w:rPr>
          <w:b/>
        </w:rPr>
        <w:t xml:space="preserve">Contact: </w:t>
      </w:r>
      <w:r>
        <w:t>corresponding.author@institution.edu</w:t>
      </w:r>
    </w:p>
    <w:p/>
    <w:p>
      <w:r>
        <w:rPr>
          <w:b/>
        </w:rPr>
        <w:t xml:space="preserve">Keywords: </w:t>
      </w:r>
      <w:r>
        <w:t>chromatin priming; single-cell RNA-seq; ATAC-seq; data integration; tuberculosis; transcription factors</w:t>
      </w:r>
    </w:p>
    <w:p>
      <w:r>
        <w:br w:type="page"/>
      </w:r>
    </w:p>
    <w:p>
      <w:pPr>
        <w:pStyle w:val="Heading1"/>
      </w:pPr>
      <w:r>
        <w:t>1. Introduction</w:t>
      </w:r>
    </w:p>
    <w:p>
      <w:r>
        <w:t>Single-cell RNA sequencing (scRNA-seq) has transformed our understanding of cellular heterogeneity in health and disease (Stuart et al., 2019). While transcriptomic profiling captures gene expression states, understanding the regulatory mechanisms driving these states requires knowledge of chromatin accessibility—the epigenetic landscape that controls gene activation potential (Buenrostro et al., 2015).</w:t>
      </w:r>
    </w:p>
    <w:p>
      <w:r>
        <w:t>Chromatin priming, whereby accessible chromatin regions precede or enable transcriptional activation, is central to rapid immune responses and trained immunity (Netea et al., 2020). In tuberculosis (TB), epigenetic reprogramming of myeloid cells contributes to both protective immunity and disease pathology (Cheng et al., 2014). However, direct assessment of chromatin priming typically requires matched multiome profiling (simultaneous RNA and ATAC-seq from the same cells), which remains expensive and technically demanding.</w:t>
      </w:r>
    </w:p>
    <w:p>
      <w:r>
        <w:t>We propose the Chromatin Priming Index (CPI) as a practical metric that leverages publicly available chromatin accessibility references to assess epigenetic priming from scRNA-seq data alone. CPI is defined as the proportion of differentially expressed genes (DEGs) with at least one associated accessible chromatin peak in a reference atlas. This approach enables chromatin priming assessment in any scRNA-seq dataset without requiring matched ATAC-seq profiling.</w:t>
      </w:r>
    </w:p>
    <w:p>
      <w:r>
        <w:t>Here, we validate CPI using two independent TB cohorts and demonstrate its utility for identifying master regulator transcription factors with chromatin accessibility support.</w:t>
      </w:r>
    </w:p>
    <w:p>
      <w:pPr>
        <w:pStyle w:val="Heading1"/>
      </w:pPr>
      <w:r>
        <w:t>2. Materials and Methods</w:t>
      </w:r>
    </w:p>
    <w:p>
      <w:pPr>
        <w:pStyle w:val="Heading2"/>
      </w:pPr>
      <w:r>
        <w:t>2.1 CPI Definition</w:t>
      </w:r>
    </w:p>
    <w:p>
      <w:r>
        <w:t>The Chromatin Priming Index is calculated as:</w:t>
      </w:r>
    </w:p>
    <w:p>
      <w:pPr>
        <w:jc w:val="center"/>
      </w:pPr>
      <w:r>
        <w:t>CPI = |{DEGs ∩ genes with peak-gene links}| / |{DEGs}|</w:t>
      </w:r>
    </w:p>
    <w:p>
      <w:r>
        <w:t>where DEGs are statistically significant differentially expressed genes (adjusted p &lt; 0.05) and peak-gene links represent associations between accessible chromatin peaks and genes derived from correlation analysis in multiome reference data. CPI ranges from 0 (no chromatin accessibility support) to 1 (complete chromatin accessibility support).</w:t>
      </w:r>
    </w:p>
    <w:p>
      <w:pPr>
        <w:pStyle w:val="Heading2"/>
      </w:pPr>
      <w:r>
        <w:t>2.2 Reference Atlas</w:t>
      </w:r>
    </w:p>
    <w:p>
      <w:r>
        <w:t>Peak-gene links were obtained from the 10x Genomics PBMC multiome dataset (12,012 cells, 111,857 peaks; 10x Genomics, 2021). Feature linkage analysis identified 1,283,042 peak-gene associations based on Pearson correlation between peak accessibility and gene expression across cells. Links with |correlation| &gt; 0.2 were retained.</w:t>
      </w:r>
    </w:p>
    <w:p>
      <w:pPr>
        <w:pStyle w:val="Heading2"/>
      </w:pPr>
      <w:r>
        <w:t>2.3 Datasets</w:t>
      </w:r>
    </w:p>
    <w:p>
      <w:r>
        <w:t>Two independent TB scRNA-seq datasets were analyzed:</w:t>
      </w:r>
    </w:p>
    <w:p>
      <w:r>
        <w:t>Dataset 1 (GSE167232): Bronchoalveolar lavage (BAL) samples from TB patients containing 10,357 cells profiled using 10x Genomics, from Pisu et al. (2021). Cell types included alveolar macrophages, interstitial macrophages, monocytes, dendritic cells, and B cells.</w:t>
      </w:r>
    </w:p>
    <w:p>
      <w:r>
        <w:t>Dataset 2 (GSE287288): Peripheral blood mononuclear cells (PBMCs) from seven patients with disseminated TB, containing 21,000 cells (downsampled from 82,636 for computational efficiency) from Gong et al. (2025). Cell types included T cells, B cells, monocytes, NK cells, and dendritic cells.</w:t>
      </w:r>
    </w:p>
    <w:p>
      <w:pPr>
        <w:pStyle w:val="Heading2"/>
      </w:pPr>
      <w:r>
        <w:t>2.4 Analysis Pipeline</w:t>
      </w:r>
    </w:p>
    <w:p>
      <w:r>
        <w:t>scRNA-seq data processing was performed using Seurat v5 (Hao et al., 2021). Standard preprocessing included quality control, normalization (LogNormalize), identification of 3,000 highly variable genes, scaling, PCA (30 components), and UMAP visualization. Cell types were annotated using canonical marker gene expression. Differential expression analysis was performed using the Wilcoxon rank-sum test (adjusted p &lt; 0.05, |log2FC| &gt; 0.1).</w:t>
      </w:r>
    </w:p>
    <w:p>
      <w:pPr>
        <w:pStyle w:val="Heading2"/>
      </w:pPr>
      <w:r>
        <w:t>2.5 Master Regulator Analysis</w:t>
      </w:r>
    </w:p>
    <w:p>
      <w:r>
        <w:t>Transcription factors were identified from a curated list of 67 immune-relevant TFs spanning NFκB, AP-1, IRF, STAT, and C/EBP families. TFs differentially expressed in multiple cell types were ranked by a composite score incorporating expression magnitude, statistical significance, and chromatin priming status.</w:t>
      </w:r>
    </w:p>
    <w:p>
      <w:pPr>
        <w:pStyle w:val="Heading2"/>
      </w:pPr>
      <w:r>
        <w:t>2.6 Statistical Analysis</w:t>
      </w:r>
    </w:p>
    <w:p>
      <w:r>
        <w:t>Fisher's exact test was used for enrichment analyses. Wilcoxon rank-sum tests were used for comparing accessibility scores between gene categories. All analyses were performed in R 4.5.1 with significance threshold α = 0.05.</w:t>
      </w:r>
    </w:p>
    <w:p>
      <w:pPr>
        <w:pStyle w:val="Heading1"/>
      </w:pPr>
      <w:r>
        <w:t>3. Results</w:t>
      </w:r>
    </w:p>
    <w:p>
      <w:pPr>
        <w:pStyle w:val="Heading2"/>
      </w:pPr>
      <w:r>
        <w:t>3.1 CPI is Consistent Across Tissue Types</w:t>
      </w:r>
    </w:p>
    <w:p>
      <w:r>
        <w:t>We first applied CPI to the BAL dataset (GSE167232). Across five cell types, CPI ranged from 77.6% (Interstitial Macrophages) to 81.2% (Dendritic cells), with a mean of 78.8% (Table 1). This indicates that approximately three-quarters of genes differentially expressed in TB BAL have detectable chromatin accessibility in the PBMC reference.</w:t>
      </w:r>
    </w:p>
    <w:p>
      <w:r>
        <w:t>Application to the DTB PBMC dataset (GSE287288) yielded similar results, with CPI ranging from 79.2% (B cells) to 89.0% (Dendritic cells), mean 84.2% (Table 1). The consistency across independent cohorts, tissue types (BAL vs. PBMC), and disease presentations validates CPI as a robust metric.</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Cell Type</w:t>
            </w:r>
          </w:p>
        </w:tc>
        <w:tc>
          <w:tcPr>
            <w:tcW w:type="dxa" w:w="2160"/>
          </w:tcPr>
          <w:p>
            <w:r>
              <w:t>Dataset</w:t>
            </w:r>
          </w:p>
        </w:tc>
        <w:tc>
          <w:tcPr>
            <w:tcW w:type="dxa" w:w="2160"/>
          </w:tcPr>
          <w:p>
            <w:r>
              <w:t>DEGs</w:t>
            </w:r>
          </w:p>
        </w:tc>
        <w:tc>
          <w:tcPr>
            <w:tcW w:type="dxa" w:w="2160"/>
          </w:tcPr>
          <w:p>
            <w:r>
              <w:t>CPI (%)</w:t>
            </w:r>
          </w:p>
        </w:tc>
      </w:tr>
      <w:tr>
        <w:tc>
          <w:tcPr>
            <w:tcW w:type="dxa" w:w="2160"/>
          </w:tcPr>
          <w:p>
            <w:r>
              <w:t>Alveolar Macrophage</w:t>
            </w:r>
          </w:p>
        </w:tc>
        <w:tc>
          <w:tcPr>
            <w:tcW w:type="dxa" w:w="2160"/>
          </w:tcPr>
          <w:p>
            <w:r>
              <w:t>BAL</w:t>
            </w:r>
          </w:p>
        </w:tc>
        <w:tc>
          <w:tcPr>
            <w:tcW w:type="dxa" w:w="2160"/>
          </w:tcPr>
          <w:p>
            <w:r>
              <w:t>6124</w:t>
            </w:r>
          </w:p>
        </w:tc>
        <w:tc>
          <w:tcPr>
            <w:tcW w:type="dxa" w:w="2160"/>
          </w:tcPr>
          <w:p>
            <w:r>
              <w:t>77.6</w:t>
            </w:r>
          </w:p>
        </w:tc>
      </w:tr>
      <w:tr>
        <w:tc>
          <w:tcPr>
            <w:tcW w:type="dxa" w:w="2160"/>
          </w:tcPr>
          <w:p>
            <w:r>
              <w:t>B cell</w:t>
            </w:r>
          </w:p>
        </w:tc>
        <w:tc>
          <w:tcPr>
            <w:tcW w:type="dxa" w:w="2160"/>
          </w:tcPr>
          <w:p>
            <w:r>
              <w:t>BAL</w:t>
            </w:r>
          </w:p>
        </w:tc>
        <w:tc>
          <w:tcPr>
            <w:tcW w:type="dxa" w:w="2160"/>
          </w:tcPr>
          <w:p>
            <w:r>
              <w:t>5792</w:t>
            </w:r>
          </w:p>
        </w:tc>
        <w:tc>
          <w:tcPr>
            <w:tcW w:type="dxa" w:w="2160"/>
          </w:tcPr>
          <w:p>
            <w:r>
              <w:t>78.6</w:t>
            </w:r>
          </w:p>
        </w:tc>
      </w:tr>
      <w:tr>
        <w:tc>
          <w:tcPr>
            <w:tcW w:type="dxa" w:w="2160"/>
          </w:tcPr>
          <w:p>
            <w:r>
              <w:t>Dendritic cell</w:t>
            </w:r>
          </w:p>
        </w:tc>
        <w:tc>
          <w:tcPr>
            <w:tcW w:type="dxa" w:w="2160"/>
          </w:tcPr>
          <w:p>
            <w:r>
              <w:t>BAL</w:t>
            </w:r>
          </w:p>
        </w:tc>
        <w:tc>
          <w:tcPr>
            <w:tcW w:type="dxa" w:w="2160"/>
          </w:tcPr>
          <w:p>
            <w:r>
              <w:t>4602</w:t>
            </w:r>
          </w:p>
        </w:tc>
        <w:tc>
          <w:tcPr>
            <w:tcW w:type="dxa" w:w="2160"/>
          </w:tcPr>
          <w:p>
            <w:r>
              <w:t>81.2</w:t>
            </w:r>
          </w:p>
        </w:tc>
      </w:tr>
      <w:tr>
        <w:tc>
          <w:tcPr>
            <w:tcW w:type="dxa" w:w="2160"/>
          </w:tcPr>
          <w:p>
            <w:r>
              <w:t>Interstitial Macrophage</w:t>
            </w:r>
          </w:p>
        </w:tc>
        <w:tc>
          <w:tcPr>
            <w:tcW w:type="dxa" w:w="2160"/>
          </w:tcPr>
          <w:p>
            <w:r>
              <w:t>BAL</w:t>
            </w:r>
          </w:p>
        </w:tc>
        <w:tc>
          <w:tcPr>
            <w:tcW w:type="dxa" w:w="2160"/>
          </w:tcPr>
          <w:p>
            <w:r>
              <w:t>5966</w:t>
            </w:r>
          </w:p>
        </w:tc>
        <w:tc>
          <w:tcPr>
            <w:tcW w:type="dxa" w:w="2160"/>
          </w:tcPr>
          <w:p>
            <w:r>
              <w:t>77.6</w:t>
            </w:r>
          </w:p>
        </w:tc>
      </w:tr>
      <w:tr>
        <w:tc>
          <w:tcPr>
            <w:tcW w:type="dxa" w:w="2160"/>
          </w:tcPr>
          <w:p>
            <w:r>
              <w:t>Monocyte</w:t>
            </w:r>
          </w:p>
        </w:tc>
        <w:tc>
          <w:tcPr>
            <w:tcW w:type="dxa" w:w="2160"/>
          </w:tcPr>
          <w:p>
            <w:r>
              <w:t>BAL</w:t>
            </w:r>
          </w:p>
        </w:tc>
        <w:tc>
          <w:tcPr>
            <w:tcW w:type="dxa" w:w="2160"/>
          </w:tcPr>
          <w:p>
            <w:r>
              <w:t>5558</w:t>
            </w:r>
          </w:p>
        </w:tc>
        <w:tc>
          <w:tcPr>
            <w:tcW w:type="dxa" w:w="2160"/>
          </w:tcPr>
          <w:p>
            <w:r>
              <w:t>79.1</w:t>
            </w:r>
          </w:p>
        </w:tc>
      </w:tr>
      <w:tr>
        <w:tc>
          <w:tcPr>
            <w:tcW w:type="dxa" w:w="2160"/>
          </w:tcPr>
          <w:p>
            <w:r>
              <w:t>Monocyte</w:t>
            </w:r>
          </w:p>
        </w:tc>
        <w:tc>
          <w:tcPr>
            <w:tcW w:type="dxa" w:w="2160"/>
          </w:tcPr>
          <w:p>
            <w:r>
              <w:t>DTB PBMC</w:t>
            </w:r>
          </w:p>
        </w:tc>
        <w:tc>
          <w:tcPr>
            <w:tcW w:type="dxa" w:w="2160"/>
          </w:tcPr>
          <w:p>
            <w:r>
              <w:t>3149</w:t>
            </w:r>
          </w:p>
        </w:tc>
        <w:tc>
          <w:tcPr>
            <w:tcW w:type="dxa" w:w="2160"/>
          </w:tcPr>
          <w:p>
            <w:r>
              <w:t>84.3</w:t>
            </w:r>
          </w:p>
        </w:tc>
      </w:tr>
      <w:tr>
        <w:tc>
          <w:tcPr>
            <w:tcW w:type="dxa" w:w="2160"/>
          </w:tcPr>
          <w:p>
            <w:r>
              <w:t>NK cell</w:t>
            </w:r>
          </w:p>
        </w:tc>
        <w:tc>
          <w:tcPr>
            <w:tcW w:type="dxa" w:w="2160"/>
          </w:tcPr>
          <w:p>
            <w:r>
              <w:t>DTB PBMC</w:t>
            </w:r>
          </w:p>
        </w:tc>
        <w:tc>
          <w:tcPr>
            <w:tcW w:type="dxa" w:w="2160"/>
          </w:tcPr>
          <w:p>
            <w:r>
              <w:t>2046</w:t>
            </w:r>
          </w:p>
        </w:tc>
        <w:tc>
          <w:tcPr>
            <w:tcW w:type="dxa" w:w="2160"/>
          </w:tcPr>
          <w:p>
            <w:r>
              <w:t>85.4</w:t>
            </w:r>
          </w:p>
        </w:tc>
      </w:tr>
      <w:tr>
        <w:tc>
          <w:tcPr>
            <w:tcW w:type="dxa" w:w="2160"/>
          </w:tcPr>
          <w:p>
            <w:r>
              <w:t>T cell</w:t>
            </w:r>
          </w:p>
        </w:tc>
        <w:tc>
          <w:tcPr>
            <w:tcW w:type="dxa" w:w="2160"/>
          </w:tcPr>
          <w:p>
            <w:r>
              <w:t>DTB PBMC</w:t>
            </w:r>
          </w:p>
        </w:tc>
        <w:tc>
          <w:tcPr>
            <w:tcW w:type="dxa" w:w="2160"/>
          </w:tcPr>
          <w:p>
            <w:r>
              <w:t>2826</w:t>
            </w:r>
          </w:p>
        </w:tc>
        <w:tc>
          <w:tcPr>
            <w:tcW w:type="dxa" w:w="2160"/>
          </w:tcPr>
          <w:p>
            <w:r>
              <w:t>82.8</w:t>
            </w:r>
          </w:p>
        </w:tc>
      </w:tr>
      <w:tr>
        <w:tc>
          <w:tcPr>
            <w:tcW w:type="dxa" w:w="2160"/>
          </w:tcPr>
          <w:p>
            <w:r>
              <w:t>DC</w:t>
            </w:r>
          </w:p>
        </w:tc>
        <w:tc>
          <w:tcPr>
            <w:tcW w:type="dxa" w:w="2160"/>
          </w:tcPr>
          <w:p>
            <w:r>
              <w:t>DTB PBMC</w:t>
            </w:r>
          </w:p>
        </w:tc>
        <w:tc>
          <w:tcPr>
            <w:tcW w:type="dxa" w:w="2160"/>
          </w:tcPr>
          <w:p>
            <w:r>
              <w:t>681</w:t>
            </w:r>
          </w:p>
        </w:tc>
        <w:tc>
          <w:tcPr>
            <w:tcW w:type="dxa" w:w="2160"/>
          </w:tcPr>
          <w:p>
            <w:r>
              <w:t>89.0</w:t>
            </w:r>
          </w:p>
        </w:tc>
      </w:tr>
      <w:tr>
        <w:tc>
          <w:tcPr>
            <w:tcW w:type="dxa" w:w="2160"/>
          </w:tcPr>
          <w:p>
            <w:r>
              <w:t>B cell</w:t>
            </w:r>
          </w:p>
        </w:tc>
        <w:tc>
          <w:tcPr>
            <w:tcW w:type="dxa" w:w="2160"/>
          </w:tcPr>
          <w:p>
            <w:r>
              <w:t>DTB PBMC</w:t>
            </w:r>
          </w:p>
        </w:tc>
        <w:tc>
          <w:tcPr>
            <w:tcW w:type="dxa" w:w="2160"/>
          </w:tcPr>
          <w:p>
            <w:r>
              <w:t>3456</w:t>
            </w:r>
          </w:p>
        </w:tc>
        <w:tc>
          <w:tcPr>
            <w:tcW w:type="dxa" w:w="2160"/>
          </w:tcPr>
          <w:p>
            <w:r>
              <w:t>79.2</w:t>
            </w:r>
          </w:p>
        </w:tc>
      </w:tr>
    </w:tbl>
    <w:p>
      <w:r>
        <w:t>Table 1. Chromatin Priming Index by cell type and dataset.</w:t>
      </w:r>
    </w:p>
    <w:p>
      <w:pPr>
        <w:pStyle w:val="Heading2"/>
      </w:pPr>
      <w:r>
        <w:t>3.2 Dendritic Cells Show Highest Chromatin Priming</w:t>
      </w:r>
    </w:p>
    <w:p>
      <w:r>
        <w:t>Dendritic cells consistently showed the highest CPI across both datasets (BAL: 81.2%, DTB PBMC: 89.0%), suggesting that antigen-presenting cells have particularly extensive epigenetic priming. This may reflect the requirement for rapid transcriptional responses to diverse pathogen-associated signals.</w:t>
      </w:r>
    </w:p>
    <w:p>
      <w:pPr>
        <w:pStyle w:val="Heading2"/>
      </w:pPr>
      <w:r>
        <w:t>3.3 Master Regulator TFs are Chromatin-Primed</w:t>
      </w:r>
    </w:p>
    <w:p>
      <w:r>
        <w:t>Master regulator analysis identified 55 transcription factors differentially expressed across datasets (Table 2). The top-ranked TFs included CEBPB (score 14.5, BAL), SPIB (9.66, DTB PBMC), IRF7 (7.35, BAL), and STAT1 (7.34, BAL). Notably, all top 15 TFs were chromatin-primed, indicating their regulatory potential is supported by accessible chromatin.</w:t>
      </w:r>
    </w:p>
    <w:p>
      <w:r>
        <w:t>Sixteen TFs were conserved across both datasets: CEBPB, IRF7, STAT1, JUN, REL, SPI1, RUNX1, ELF1, CEBPD, JUND, IRF3, IRF8, IRF1, XBP1, CEBPA, and IRF2. These represent core transcriptional regulators of myeloid function and inflammatory responses, consistent with their known roles in TB immunity.</w:t>
      </w:r>
    </w:p>
    <w:p>
      <w:pPr>
        <w:pStyle w:val="Heading1"/>
      </w:pPr>
      <w:r>
        <w:t>4. Discussion</w:t>
      </w:r>
    </w:p>
    <w:p>
      <w:r>
        <w:t>We introduce the Chromatin Priming Index as a practical metric for assessing epigenetic priming from scRNA-seq data using reference chromatin accessibility atlases. Our validation across two independent TB cohorts demonstrates several key findings.</w:t>
      </w:r>
    </w:p>
    <w:p>
      <w:r>
        <w:t>First, CPI is remarkably consistent (77-89%) across tissue types and disease presentations, suggesting that the majority of transcriptionally dysregulated genes in TB have prior chromatin accessibility. This supports the concept that epigenetic priming establishes a permissive transcriptional landscape that is subsequently activated during infection.</w:t>
      </w:r>
    </w:p>
    <w:p>
      <w:r>
        <w:t>Second, dendritic cells show the highest CPI, consistent with their role as professional antigen-presenting cells requiring rapid and flexible transcriptional responses. This finding aligns with studies showing extensive epigenetic priming in DCs during development (Satpathy et al., 2019).</w:t>
      </w:r>
    </w:p>
    <w:p>
      <w:r>
        <w:t>Third, master regulator TFs identified through our analysis—including CEBPB, IRF7, STAT1, and JUN—are well-established regulators of myeloid function and inflammatory responses. Their conservation across independent datasets and chromatin priming status supports their central role in TB pathogenesis.</w:t>
      </w:r>
    </w:p>
    <w:p>
      <w:r>
        <w:t>Limitations of our approach include the use of healthy PBMC reference for diseased tissue, which may underestimate disease-specific chromatin changes. Additionally, CPI does not capture the direction of accessibility changes (opening vs. closing) or the specific regulatory elements involved. Future work should develop disease-specific chromatin atlases and incorporate enhancer-gene predictions.</w:t>
      </w:r>
    </w:p>
    <w:p>
      <w:pPr>
        <w:pStyle w:val="Heading1"/>
      </w:pPr>
      <w:r>
        <w:t>5. Conclusions</w:t>
      </w:r>
    </w:p>
    <w:p>
      <w:r>
        <w:t>The Chromatin Priming Index provides a quantitative, generalizable framework for integrating scRNA-seq with chromatin accessibility references. Its robustness across independent TB cohorts demonstrates utility for infectious disease research without requiring expensive multiome profiling. CPI can be readily applied to any scRNA-seq dataset using publicly available chromatin atlases, enabling broader assessment of epigenetic priming in disease contexts.</w:t>
      </w:r>
    </w:p>
    <w:p>
      <w:pPr>
        <w:pStyle w:val="Heading1"/>
      </w:pPr>
      <w:r>
        <w:t>Data Availability</w:t>
      </w:r>
    </w:p>
    <w:p>
      <w:r>
        <w:t>scRNA-seq data are available from GEO under accessions GSE167232 and GSE287288. The ATAC reference (PBMC multiome) is available from 10x Genomics. Analysis code is available at [GitHub repository].</w:t>
      </w:r>
    </w:p>
    <w:p>
      <w:pPr>
        <w:pStyle w:val="Heading1"/>
      </w:pPr>
      <w:r>
        <w:t>Funding</w:t>
      </w:r>
    </w:p>
    <w:p>
      <w:r>
        <w:t>[Funding sources to be added]</w:t>
      </w:r>
    </w:p>
    <w:p>
      <w:pPr>
        <w:pStyle w:val="Heading1"/>
      </w:pPr>
      <w:r>
        <w:t>Conflict of Interest</w:t>
      </w:r>
    </w:p>
    <w:p>
      <w:r>
        <w:t>The authors declare no conflicts of interest.</w:t>
      </w:r>
    </w:p>
    <w:p>
      <w:pPr>
        <w:pStyle w:val="Heading1"/>
      </w:pPr>
      <w:r>
        <w:t>AI Usage Statement</w:t>
      </w:r>
    </w:p>
    <w:p>
      <w:r>
        <w:t>AI tools were used to assist with code development, data analysis pipeline construction, and manuscript drafting. All analyses were verified and results validated by the authors. The manuscript was reviewed for scientific accuracy before submission.</w:t>
      </w:r>
    </w:p>
    <w:p>
      <w:r>
        <w:br w:type="page"/>
      </w:r>
    </w:p>
    <w:p>
      <w:pPr>
        <w:pStyle w:val="Heading1"/>
      </w:pPr>
      <w:r>
        <w:t>References</w:t>
      </w:r>
    </w:p>
    <w:p>
      <w:r>
        <w:t>1. Pisu D, Huang L, Narang V, et al. Single cell analysis of M. tuberculosis phenotype and macrophage lineages in the infected lung. J Exp Med. 2021;218(9):e20210615. doi: 10.1084/jem.20210615 PMID: 34292313</w:t>
      </w:r>
    </w:p>
    <w:p>
      <w:r>
        <w:t>2. Gong Z, Xu H, Zhang Q, Chen Y, Xie J Unveiling the immunological landscape of disseminated tuberculosis: a single-cell transcriptome perspective. Front Immunol. 2025;16:1527592. doi: 10.3389/fimmu.2025.1527592 PMID: 40092995</w:t>
      </w:r>
    </w:p>
    <w:p>
      <w:r>
        <w:t>3. Stuart T, Butler A, Hoffman P, et al. Comprehensive Integration of Single-Cell Data. Cell. 2019;177(7):1888-1902.e21. doi: 10.1016/j.cell.2019.05.031 PMID: 31178118</w:t>
      </w:r>
    </w:p>
    <w:p>
      <w:r>
        <w:t>4. Hao Y, Hao S, Andersen-Nissen E, et al. Integrated analysis of multimodal single-cell data. Cell. 2021;184(13):3573-3587.e29. doi: 10.1016/j.cell.2021.04.048 PMID: 34062119</w:t>
      </w:r>
    </w:p>
    <w:p>
      <w:r>
        <w:t>5. Netea MG, Domínguez-Andrés J, Barreiro LB, et al. Defining trained immunity and its role in health and disease. Nat Rev Immunol. 2020;20(6):375-388. doi: 10.1038/s41577-020-0285-6 PMID: 32139886</w:t>
      </w:r>
    </w:p>
    <w:p>
      <w:r>
        <w:t>6. Cheng SC, Quintin J, Cramer RA, et al. mTOR- and HIF-1α-mediated aerobic glycolysis as metabolic basis for trained immunity. Science. 2014;345(6204):1250684. doi: 10.1126/science.1250684 PMID: 25258083</w:t>
      </w:r>
    </w:p>
    <w:p>
      <w:r>
        <w:t>7. Buenrostro JD, Wu B, Chang HY, Greenleaf WJ ATAC-seq: A Method for Assaying Chromatin Accessibility Genome-Wide. Curr Protoc Mol Biol. 2015;109:21.29.1-21.29.9. doi: 10.1002/0471142727.mb2129s109 PMID: 25559105</w:t>
      </w:r>
    </w:p>
    <w:p>
      <w:r>
        <w:t>8. Granja JM, Corces MR, Pierce SE, et al. ArchR is a scalable software package for integrative single-cell chromatin accessibility analysis. Nat Genet. 2021;53(3):403-411. doi: 10.1038/s41588-021-00790-6 PMID: 33633365</w:t>
      </w:r>
    </w:p>
    <w:p>
      <w:r>
        <w:t>9. Satpathy AT, Granja JM, Yost KE, et al. Massively parallel single-cell chromatin landscapes of human immune cell development and intratumoral T cell exhaustion. Nat Biotechnol. 2019;37(8):925-936. doi: 10.1038/s41587-019-0206-z PMID: 31375813</w:t>
      </w:r>
    </w:p>
    <w:p>
      <w:r>
        <w:t>10. WHO Global tuberculosis report 2024. World Health Organization. 2024.</w:t>
      </w:r>
    </w:p>
    <w:p>
      <w:r>
        <w:br w:type="page"/>
      </w:r>
    </w:p>
    <w:p>
      <w:pPr>
        <w:pStyle w:val="Heading1"/>
      </w:pPr>
      <w:r>
        <w:t>Figure Legends</w:t>
      </w:r>
    </w:p>
    <w:p>
      <w:r>
        <w:rPr>
          <w:b/>
        </w:rPr>
        <w:t xml:space="preserve">Figure 1. </w:t>
      </w:r>
      <w:r>
        <w:t>Chromatin Priming Index by cell type in BAL samples. Bar plot showing CPI (%) for each cell type identified in the GSE167232 dataset. CPI ranged from 77.6% to 81.2%.</w:t>
      </w:r>
    </w:p>
    <w:p>
      <w:r>
        <w:rPr>
          <w:b/>
        </w:rPr>
        <w:t xml:space="preserve">Figure 2. </w:t>
      </w:r>
      <w:r>
        <w:t>Cross-dataset CPI comparison. Bar plot comparing CPI between BAL (GSE167232) and DTB PBMC (GSE287288) datasets across cell types. Both datasets show consistently high CPI (77-89%).</w:t>
      </w:r>
    </w:p>
    <w:p>
      <w:r>
        <w:rPr>
          <w:b/>
        </w:rPr>
        <w:t xml:space="preserve">Figure 3. </w:t>
      </w:r>
      <w:r>
        <w:t>UMAP visualization of DTB PBMC cell types. Dimensionality reduction showing T cells (n=6,059), B cells (n=4,539), monocytes (n=4,482), NK cells (n=3,557), and dendritic cells (n=497).</w:t>
      </w:r>
    </w:p>
    <w:p>
      <w:r>
        <w:rPr>
          <w:b/>
        </w:rPr>
        <w:t xml:space="preserve">Figure 4. </w:t>
      </w:r>
      <w:r>
        <w:t>Master regulator TF ranking. Top 15 transcription factors ranked by composite score in BAL (top) and DTB PBMC (bottom) datasets. Red bars indicate chromatin-primed TFs.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