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Chromatin Priming Index: A Quantitative Metric for Integrating Single-Cell Transcriptomic and Chromatin Accessibility Data in Tuberculosis</w:t>
      </w:r>
    </w:p>
    <w:p/>
    <w:p>
      <w:pPr>
        <w:jc w:val="center"/>
      </w:pPr>
      <w:r>
        <w:rPr>
          <w:b/>
        </w:rPr>
        <w:t>Siddalingaiah H S</w:t>
      </w:r>
      <w:r>
        <w:t>*</w:t>
      </w:r>
    </w:p>
    <w:p>
      <w:pPr>
        <w:jc w:val="center"/>
      </w:pPr>
      <w:r>
        <w:rPr>
          <w:sz w:val="20"/>
        </w:rPr>
        <w:t xml:space="preserve">Department of Community Medicine, Shridevi Institute of Medical Sciences and Research Hospital, </w:t>
      </w:r>
      <w:r>
        <w:t>Tumkur, Karnataka, India</w:t>
      </w:r>
    </w:p>
    <w:p/>
    <w:p>
      <w:pPr>
        <w:jc w:val="center"/>
      </w:pPr>
      <w:r>
        <w:rPr>
          <w:b/>
        </w:rPr>
        <w:t xml:space="preserve">*Correspondence: </w:t>
      </w:r>
      <w:r>
        <w:t>Siddalingaiah H S, hssling@yahoo.com</w:t>
      </w:r>
    </w:p>
    <w:p>
      <w:pPr>
        <w:jc w:val="center"/>
      </w:pPr>
      <w:r>
        <w:rPr>
          <w:sz w:val="20"/>
        </w:rPr>
        <w:t>ORCID: https://orcid.org/0000-0002-4771-8285</w:t>
      </w:r>
    </w:p>
    <w:p>
      <w:r>
        <w:br w:type="page"/>
      </w:r>
    </w:p>
    <w:p>
      <w:pPr>
        <w:pStyle w:val="Heading1"/>
      </w:pPr>
      <w:r>
        <w:t>Abstract</w:t>
      </w:r>
    </w:p>
    <w:p>
      <w:r>
        <w:rPr>
          <w:b/>
        </w:rPr>
        <w:t xml:space="preserve">Background: </w:t>
      </w:r>
      <w:r>
        <w:t>Understanding chromatin regulation in disease requires integration of transcriptomic and epigenomic data. However, matched single-cell multiome profiling is expensive and technically challenging, limiting chromatin priming assessment in most clinical cohorts.</w:t>
      </w:r>
    </w:p>
    <w:p>
      <w:r>
        <w:rPr>
          <w:b/>
        </w:rPr>
        <w:t xml:space="preserve">Methods: </w:t>
      </w:r>
      <w:r>
        <w:t>We developed the Chromatin Priming Index (CPI), measuring the proportion of differentially expressed genes with accessible chromatin regions in a reference atlas. Using 1,283,042 peak-gene links from 10x Genomics PBMC multiome dataset, we validated CPI across two independent tuberculosis cohorts: bronchoalveolar lavage macrophages (GSE167232, n=10,357 cells) and peripheral blood from disseminated TB patients (GSE287288, n=21,000 cells).</w:t>
      </w:r>
    </w:p>
    <w:p>
      <w:r>
        <w:rPr>
          <w:b/>
        </w:rPr>
        <w:t xml:space="preserve">Results: </w:t>
      </w:r>
      <w:r>
        <w:t>CPI was consistently high across tissue types (BAL: 78.8%, PBMC: 84.2%) and cell types (range: 77.6-89.0%). Dendritic cells exhibited the highest CPI (89.0%). Master regulator analysis identified 16 transcription factors conserved across datasets, including CEBPB, IRF7, STAT1, and JUN, all showing chromatin accessibility support.</w:t>
      </w:r>
    </w:p>
    <w:p>
      <w:r>
        <w:rPr>
          <w:b/>
        </w:rPr>
        <w:t xml:space="preserve">Conclusions: </w:t>
      </w:r>
      <w:r>
        <w:t>CPI provides a quantitative framework for assessing chromatin priming from scRNA-seq data without requiring matched ATAC-seq profiling. Its consistency across independent TB cohorts demonstrates utility for infectious disease research.</w:t>
      </w:r>
    </w:p>
    <w:p>
      <w:r>
        <w:rPr>
          <w:b/>
        </w:rPr>
        <w:t xml:space="preserve">Keywords: </w:t>
      </w:r>
      <w:r>
        <w:t>chromatin priming, single-cell RNA-seq, ATAC-seq, data integration, tuberculosis, transcription factors</w:t>
      </w:r>
    </w:p>
    <w:p>
      <w:r>
        <w:br w:type="page"/>
      </w:r>
    </w:p>
    <w:p>
      <w:pPr>
        <w:pStyle w:val="Heading1"/>
      </w:pPr>
      <w:r>
        <w:t>Introduction</w:t>
      </w:r>
    </w:p>
    <w:p>
      <w:r>
        <w:t>Tuberculosis (TB) remains a leading cause of mortality from a single infectious agent, with an estimated 10.6 million new cases and 1.3 million deaths globally in 2022 (10). Single-cell RNA sequencing (scRNA-seq) has transformed our understanding of cellular heterogeneity in TB (1, 2), but understanding the regulatory mechanisms driving these transcriptional states requires knowledge of chromatin accessibility (7).</w:t>
      </w:r>
    </w:p>
    <w:p>
      <w:r>
        <w:t>Chromatin priming, whereby accessible chromatin regions precede or enable transcriptional activation, is central to rapid immune responses and trained immunity (5). In TB, epigenetic reprogramming of myeloid cells contributes to both protective immunity and disease pathology (6). However, direct assessment of chromatin priming typically requires matched multiome profiling, which remains expensive and technically demanding (8).</w:t>
      </w:r>
    </w:p>
    <w:p>
      <w:r>
        <w:t>We propose the Chromatin Priming Index (CPI) as a practical metric that leverages publicly available chromatin accessibility references to assess epigenetic priming from scRNA-seq data alone. Here, we validate CPI using two independent TB cohorts and demonstrate its utility for identifying master regulator transcription factors with chromatin accessibility support.</w:t>
      </w:r>
    </w:p>
    <w:p>
      <w:pPr>
        <w:pStyle w:val="Heading1"/>
      </w:pPr>
      <w:r>
        <w:t>Materials and Methods</w:t>
      </w:r>
    </w:p>
    <w:p>
      <w:pPr>
        <w:pStyle w:val="Heading2"/>
      </w:pPr>
      <w:r>
        <w:t>CPI Definition</w:t>
      </w:r>
    </w:p>
    <w:p>
      <w:r>
        <w:t>The Chromatin Priming Index was calculated as: CPI = |DEGs with peak-gene links| / |Total DEGs|, where DEGs are statistically significant differentially expressed genes (adjusted P &lt; 0.05) and peak-gene links represent associations between accessible chromatin peaks and genes derived from correlation analysis in multiome reference data. CPI ranges from 0 to 1.</w:t>
      </w:r>
    </w:p>
    <w:p>
      <w:pPr>
        <w:pStyle w:val="Heading2"/>
      </w:pPr>
      <w:r>
        <w:t>Reference Atlas</w:t>
      </w:r>
    </w:p>
    <w:p>
      <w:r>
        <w:t>Peak-gene links were obtained from the 10x Genomics PBMC multiome dataset (12,012 cells, 111,857 peaks). Feature linkage analysis identified 1,283,042 peak-gene associations based on Pearson correlation between peak accessibility and gene expression across cells.</w:t>
      </w:r>
    </w:p>
    <w:p>
      <w:pPr>
        <w:pStyle w:val="Heading2"/>
      </w:pPr>
      <w:r>
        <w:t>Datasets</w:t>
      </w:r>
    </w:p>
    <w:p>
      <w:r>
        <w:t>Two independent TB scRNA-seq datasets were analyzed: (i) GSE167232: Bronchoalveolar lavage (BAL) samples containing 10,357 cells from Pisu et al. (1); (ii) GSE287288: PBMCs from seven patients with disseminated TB containing 21,000 cells from Gong et al. (2).</w:t>
      </w:r>
    </w:p>
    <w:p>
      <w:pPr>
        <w:pStyle w:val="Heading2"/>
      </w:pPr>
      <w:r>
        <w:t>Analysis Pipeline</w:t>
      </w:r>
    </w:p>
    <w:p>
      <w:r>
        <w:t>scRNA-seq data processing was performed using Seurat v5 (4). Standard preprocessing included quality control, normalization, identification of 3,000 highly variable genes, scaling, PCA, and UMAP visualization. Cell types were annotated using canonical marker gene expression. Differential expression analysis was performed using the Wilcoxon rank-sum test.</w:t>
      </w:r>
    </w:p>
    <w:p>
      <w:pPr>
        <w:pStyle w:val="Heading2"/>
      </w:pPr>
      <w:r>
        <w:t>Master Regulator Analysis</w:t>
      </w:r>
    </w:p>
    <w:p>
      <w:r>
        <w:t>Transcription factors were identified from a curated list of 67 immune-relevant TFs spanning NFkB, AP-1, IRF, STAT, and C/EBP families. TFs differentially expressed in multiple cell types were ranked by a composite score incorporating expression magnitude, statistical significance, and chromatin priming status.</w:t>
      </w:r>
    </w:p>
    <w:p>
      <w:pPr>
        <w:pStyle w:val="Heading2"/>
      </w:pPr>
      <w:r>
        <w:t>Statistical Analysis</w:t>
      </w:r>
    </w:p>
    <w:p>
      <w:r>
        <w:t>Fisher's exact test was used for enrichment analyses. Wilcoxon rank-sum tests were used for comparing accessibility scores. All analyses were performed in R 4.5.1 with significance threshold alpha = 0.05.</w:t>
      </w:r>
    </w:p>
    <w:p>
      <w:pPr>
        <w:pStyle w:val="Heading1"/>
      </w:pPr>
      <w:r>
        <w:t>Results</w:t>
      </w:r>
    </w:p>
    <w:p>
      <w:pPr>
        <w:pStyle w:val="Heading2"/>
      </w:pPr>
      <w:r>
        <w:t>CPI is Consistent Across Tissue Types</w:t>
      </w:r>
    </w:p>
    <w:p>
      <w:r>
        <w:t>We applied CPI to the BAL dataset (GSE167232). Across five cell types, CPI ranged from 77.6% (Interstitial Macrophages) to 81.2% (Dendritic cells), with a mean of 78.8% (Table 1). Application to the DTB PBMC dataset (GSE287288) yielded similar results, with CPI ranging from 79.2% (B cells) to 89.0% (Dendritic cells), mean 84.2%.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Cell Type</w:t>
            </w:r>
          </w:p>
        </w:tc>
        <w:tc>
          <w:tcPr>
            <w:tcW w:type="dxa" w:w="2160"/>
          </w:tcPr>
          <w:p>
            <w:r>
              <w:t>Dataset</w:t>
            </w:r>
          </w:p>
        </w:tc>
        <w:tc>
          <w:tcPr>
            <w:tcW w:type="dxa" w:w="2160"/>
          </w:tcPr>
          <w:p>
            <w:r>
              <w:t>DEGs</w:t>
            </w:r>
          </w:p>
        </w:tc>
        <w:tc>
          <w:tcPr>
            <w:tcW w:type="dxa" w:w="2160"/>
          </w:tcPr>
          <w:p>
            <w:r>
              <w:t>CPI (%)</w:t>
            </w:r>
          </w:p>
        </w:tc>
      </w:tr>
      <w:tr>
        <w:tc>
          <w:tcPr>
            <w:tcW w:type="dxa" w:w="2160"/>
          </w:tcPr>
          <w:p>
            <w:r>
              <w:t>Alveolar Macrophage</w:t>
            </w:r>
          </w:p>
        </w:tc>
        <w:tc>
          <w:tcPr>
            <w:tcW w:type="dxa" w:w="2160"/>
          </w:tcPr>
          <w:p>
            <w:r>
              <w:t>BAL</w:t>
            </w:r>
          </w:p>
        </w:tc>
        <w:tc>
          <w:tcPr>
            <w:tcW w:type="dxa" w:w="2160"/>
          </w:tcPr>
          <w:p>
            <w:r>
              <w:t>6124</w:t>
            </w:r>
          </w:p>
        </w:tc>
        <w:tc>
          <w:tcPr>
            <w:tcW w:type="dxa" w:w="2160"/>
          </w:tcPr>
          <w:p>
            <w:r>
              <w:t>77.6</w:t>
            </w:r>
          </w:p>
        </w:tc>
      </w:tr>
      <w:tr>
        <w:tc>
          <w:tcPr>
            <w:tcW w:type="dxa" w:w="2160"/>
          </w:tcPr>
          <w:p>
            <w:r>
              <w:t>B cell</w:t>
            </w:r>
          </w:p>
        </w:tc>
        <w:tc>
          <w:tcPr>
            <w:tcW w:type="dxa" w:w="2160"/>
          </w:tcPr>
          <w:p>
            <w:r>
              <w:t>BAL</w:t>
            </w:r>
          </w:p>
        </w:tc>
        <w:tc>
          <w:tcPr>
            <w:tcW w:type="dxa" w:w="2160"/>
          </w:tcPr>
          <w:p>
            <w:r>
              <w:t>5792</w:t>
            </w:r>
          </w:p>
        </w:tc>
        <w:tc>
          <w:tcPr>
            <w:tcW w:type="dxa" w:w="2160"/>
          </w:tcPr>
          <w:p>
            <w:r>
              <w:t>78.6</w:t>
            </w:r>
          </w:p>
        </w:tc>
      </w:tr>
      <w:tr>
        <w:tc>
          <w:tcPr>
            <w:tcW w:type="dxa" w:w="2160"/>
          </w:tcPr>
          <w:p>
            <w:r>
              <w:t>Dendritic cell</w:t>
            </w:r>
          </w:p>
        </w:tc>
        <w:tc>
          <w:tcPr>
            <w:tcW w:type="dxa" w:w="2160"/>
          </w:tcPr>
          <w:p>
            <w:r>
              <w:t>BAL</w:t>
            </w:r>
          </w:p>
        </w:tc>
        <w:tc>
          <w:tcPr>
            <w:tcW w:type="dxa" w:w="2160"/>
          </w:tcPr>
          <w:p>
            <w:r>
              <w:t>4602</w:t>
            </w:r>
          </w:p>
        </w:tc>
        <w:tc>
          <w:tcPr>
            <w:tcW w:type="dxa" w:w="2160"/>
          </w:tcPr>
          <w:p>
            <w:r>
              <w:t>81.2</w:t>
            </w:r>
          </w:p>
        </w:tc>
      </w:tr>
      <w:tr>
        <w:tc>
          <w:tcPr>
            <w:tcW w:type="dxa" w:w="2160"/>
          </w:tcPr>
          <w:p>
            <w:r>
              <w:t>Interstitial Macrophage</w:t>
            </w:r>
          </w:p>
        </w:tc>
        <w:tc>
          <w:tcPr>
            <w:tcW w:type="dxa" w:w="2160"/>
          </w:tcPr>
          <w:p>
            <w:r>
              <w:t>BAL</w:t>
            </w:r>
          </w:p>
        </w:tc>
        <w:tc>
          <w:tcPr>
            <w:tcW w:type="dxa" w:w="2160"/>
          </w:tcPr>
          <w:p>
            <w:r>
              <w:t>5966</w:t>
            </w:r>
          </w:p>
        </w:tc>
        <w:tc>
          <w:tcPr>
            <w:tcW w:type="dxa" w:w="2160"/>
          </w:tcPr>
          <w:p>
            <w:r>
              <w:t>77.6</w:t>
            </w:r>
          </w:p>
        </w:tc>
      </w:tr>
      <w:tr>
        <w:tc>
          <w:tcPr>
            <w:tcW w:type="dxa" w:w="2160"/>
          </w:tcPr>
          <w:p>
            <w:r>
              <w:t>Monocyte</w:t>
            </w:r>
          </w:p>
        </w:tc>
        <w:tc>
          <w:tcPr>
            <w:tcW w:type="dxa" w:w="2160"/>
          </w:tcPr>
          <w:p>
            <w:r>
              <w:t>BAL</w:t>
            </w:r>
          </w:p>
        </w:tc>
        <w:tc>
          <w:tcPr>
            <w:tcW w:type="dxa" w:w="2160"/>
          </w:tcPr>
          <w:p>
            <w:r>
              <w:t>5558</w:t>
            </w:r>
          </w:p>
        </w:tc>
        <w:tc>
          <w:tcPr>
            <w:tcW w:type="dxa" w:w="2160"/>
          </w:tcPr>
          <w:p>
            <w:r>
              <w:t>79.1</w:t>
            </w:r>
          </w:p>
        </w:tc>
      </w:tr>
      <w:tr>
        <w:tc>
          <w:tcPr>
            <w:tcW w:type="dxa" w:w="2160"/>
          </w:tcPr>
          <w:p>
            <w:r>
              <w:t>Monocyte</w:t>
            </w:r>
          </w:p>
        </w:tc>
        <w:tc>
          <w:tcPr>
            <w:tcW w:type="dxa" w:w="2160"/>
          </w:tcPr>
          <w:p>
            <w:r>
              <w:t>DTB PBMC</w:t>
            </w:r>
          </w:p>
        </w:tc>
        <w:tc>
          <w:tcPr>
            <w:tcW w:type="dxa" w:w="2160"/>
          </w:tcPr>
          <w:p>
            <w:r>
              <w:t>3149</w:t>
            </w:r>
          </w:p>
        </w:tc>
        <w:tc>
          <w:tcPr>
            <w:tcW w:type="dxa" w:w="2160"/>
          </w:tcPr>
          <w:p>
            <w:r>
              <w:t>84.3</w:t>
            </w:r>
          </w:p>
        </w:tc>
      </w:tr>
      <w:tr>
        <w:tc>
          <w:tcPr>
            <w:tcW w:type="dxa" w:w="2160"/>
          </w:tcPr>
          <w:p>
            <w:r>
              <w:t>NK cell</w:t>
            </w:r>
          </w:p>
        </w:tc>
        <w:tc>
          <w:tcPr>
            <w:tcW w:type="dxa" w:w="2160"/>
          </w:tcPr>
          <w:p>
            <w:r>
              <w:t>DTB PBMC</w:t>
            </w:r>
          </w:p>
        </w:tc>
        <w:tc>
          <w:tcPr>
            <w:tcW w:type="dxa" w:w="2160"/>
          </w:tcPr>
          <w:p>
            <w:r>
              <w:t>2046</w:t>
            </w:r>
          </w:p>
        </w:tc>
        <w:tc>
          <w:tcPr>
            <w:tcW w:type="dxa" w:w="2160"/>
          </w:tcPr>
          <w:p>
            <w:r>
              <w:t>85.4</w:t>
            </w:r>
          </w:p>
        </w:tc>
      </w:tr>
      <w:tr>
        <w:tc>
          <w:tcPr>
            <w:tcW w:type="dxa" w:w="2160"/>
          </w:tcPr>
          <w:p>
            <w:r>
              <w:t>T cell</w:t>
            </w:r>
          </w:p>
        </w:tc>
        <w:tc>
          <w:tcPr>
            <w:tcW w:type="dxa" w:w="2160"/>
          </w:tcPr>
          <w:p>
            <w:r>
              <w:t>DTB PBMC</w:t>
            </w:r>
          </w:p>
        </w:tc>
        <w:tc>
          <w:tcPr>
            <w:tcW w:type="dxa" w:w="2160"/>
          </w:tcPr>
          <w:p>
            <w:r>
              <w:t>2826</w:t>
            </w:r>
          </w:p>
        </w:tc>
        <w:tc>
          <w:tcPr>
            <w:tcW w:type="dxa" w:w="2160"/>
          </w:tcPr>
          <w:p>
            <w:r>
              <w:t>82.8</w:t>
            </w:r>
          </w:p>
        </w:tc>
      </w:tr>
      <w:tr>
        <w:tc>
          <w:tcPr>
            <w:tcW w:type="dxa" w:w="2160"/>
          </w:tcPr>
          <w:p>
            <w:r>
              <w:t>DC</w:t>
            </w:r>
          </w:p>
        </w:tc>
        <w:tc>
          <w:tcPr>
            <w:tcW w:type="dxa" w:w="2160"/>
          </w:tcPr>
          <w:p>
            <w:r>
              <w:t>DTB PBMC</w:t>
            </w:r>
          </w:p>
        </w:tc>
        <w:tc>
          <w:tcPr>
            <w:tcW w:type="dxa" w:w="2160"/>
          </w:tcPr>
          <w:p>
            <w:r>
              <w:t>681</w:t>
            </w:r>
          </w:p>
        </w:tc>
        <w:tc>
          <w:tcPr>
            <w:tcW w:type="dxa" w:w="2160"/>
          </w:tcPr>
          <w:p>
            <w:r>
              <w:t>89.0</w:t>
            </w:r>
          </w:p>
        </w:tc>
      </w:tr>
      <w:tr>
        <w:tc>
          <w:tcPr>
            <w:tcW w:type="dxa" w:w="2160"/>
          </w:tcPr>
          <w:p>
            <w:r>
              <w:t>B cell</w:t>
            </w:r>
          </w:p>
        </w:tc>
        <w:tc>
          <w:tcPr>
            <w:tcW w:type="dxa" w:w="2160"/>
          </w:tcPr>
          <w:p>
            <w:r>
              <w:t>DTB PBMC</w:t>
            </w:r>
          </w:p>
        </w:tc>
        <w:tc>
          <w:tcPr>
            <w:tcW w:type="dxa" w:w="2160"/>
          </w:tcPr>
          <w:p>
            <w:r>
              <w:t>3456</w:t>
            </w:r>
          </w:p>
        </w:tc>
        <w:tc>
          <w:tcPr>
            <w:tcW w:type="dxa" w:w="2160"/>
          </w:tcPr>
          <w:p>
            <w:r>
              <w:t>79.2</w:t>
            </w:r>
          </w:p>
        </w:tc>
      </w:tr>
    </w:tbl>
    <w:p>
      <w:r>
        <w:t>Table 1. Chromatin Priming Index by cell type and dataset.</w:t>
      </w:r>
    </w:p>
    <w:p>
      <w:pPr>
        <w:pStyle w:val="Heading2"/>
      </w:pPr>
      <w:r>
        <w:t>Dendritic Cells Show Highest Chromatin Priming</w:t>
      </w:r>
    </w:p>
    <w:p>
      <w:r>
        <w:t>Dendritic cells consistently showed the highest CPI across both datasets (BAL: 81.2%, DTB PBMC: 89.0%), suggesting that antigen-presenting cells have particularly extensive epigenetic priming for rapid transcriptional responses.</w:t>
      </w:r>
    </w:p>
    <w:p>
      <w:pPr>
        <w:pStyle w:val="Heading2"/>
      </w:pPr>
      <w:r>
        <w:t>Master Regulator TFs are Chromatin-Primed</w:t>
      </w:r>
    </w:p>
    <w:p>
      <w:r>
        <w:t>Master regulator analysis identified 55 transcription factors differentially expressed across datasets. Top-ranked TFs included CEBPB (score 14.5), SPIB (9.66), IRF7 (7.35), and STAT1 (7.34). Notably, all top 15 TFs were chromatin-primed. Sixteen TFs were conserved across both datasets: CEBPB, IRF7, STAT1, JUN, REL, SPI1, RUNX1, ELF1, CEBPD, JUND, IRF3, IRF8, IRF1, XBP1, CEBPA, and IRF2.</w:t>
      </w:r>
    </w:p>
    <w:p>
      <w:pPr>
        <w:pStyle w:val="Heading1"/>
      </w:pPr>
      <w:r>
        <w:t>Discussion</w:t>
      </w:r>
    </w:p>
    <w:p>
      <w:r>
        <w:t>We introduce the Chromatin Priming Index as a practical metric for assessing epigenetic priming from scRNA-seq data using reference chromatin accessibility atlases. Our validation across two independent TB cohorts demonstrates that CPI is remarkably consistent (77-89%) across tissue types and disease presentations.</w:t>
      </w:r>
    </w:p>
    <w:p>
      <w:r>
        <w:t>Dendritic cells showed the highest CPI, consistent with their role as professional antigen-presenting cells requiring rapid transcriptional responses. This aligns with studies showing extensive epigenetic priming in DCs during development (9). Master regulator TFs identified through our analysis, including CEBPB, IRF7, and STAT1, are well-established regulators of myeloid function and inflammatory responses.</w:t>
      </w:r>
    </w:p>
    <w:p>
      <w:r>
        <w:t>Limitations include the use of healthy PBMC reference for diseased tissue, which may underestimate disease-specific chromatin changes. Future work should develop disease-specific chromatin atlases and incorporate enhancer-gene predictions.</w:t>
      </w:r>
    </w:p>
    <w:p>
      <w:r>
        <w:t>In conclusion, CPI provides a quantitative framework for integrating scRNA-seq with chromatin accessibility references without requiring expensive multiome profiling. Its robustness across independent TB cohorts demonstrates utility for infectious disease research.</w:t>
      </w:r>
    </w:p>
    <w:p>
      <w:pPr>
        <w:pStyle w:val="Heading1"/>
      </w:pPr>
      <w:r>
        <w:t>Data Availability Statement</w:t>
      </w:r>
    </w:p>
    <w:p>
      <w:r>
        <w:t>Publicly available datasets were analyzed in this study. scRNA-seq data are available from GEO under accessions GSE167232 and GSE287288. The ATAC reference (PBMC multiome) is available from 10x Genomics.</w:t>
      </w:r>
    </w:p>
    <w:p>
      <w:pPr>
        <w:pStyle w:val="Heading1"/>
      </w:pPr>
      <w:r>
        <w:t>Ethics Statement</w:t>
      </w:r>
    </w:p>
    <w:p>
      <w:r>
        <w:t>This study analyzed publicly available datasets. No new human samples were collected. The original studies obtained appropriate ethical approvals.</w:t>
      </w:r>
    </w:p>
    <w:p>
      <w:pPr>
        <w:pStyle w:val="Heading1"/>
      </w:pPr>
      <w:r>
        <w:t>Author Contributions</w:t>
      </w:r>
    </w:p>
    <w:p>
      <w:r>
        <w:t>Siddalingaiah H S: Conceptualization, Methodology, Software, Formal analysis, Writing - original draft, Writing - review &amp; editing, Visualization.</w:t>
      </w:r>
    </w:p>
    <w:p>
      <w:pPr>
        <w:pStyle w:val="Heading1"/>
      </w:pPr>
      <w:r>
        <w:t>Funding</w:t>
      </w:r>
    </w:p>
    <w:p>
      <w:r>
        <w:t>This research received no specific grant from any funding agency in the public, commercial, or not-for-profit sectors.</w:t>
      </w:r>
    </w:p>
    <w:p>
      <w:pPr>
        <w:pStyle w:val="Heading1"/>
      </w:pPr>
      <w:r>
        <w:t>Conflict of Interest</w:t>
      </w:r>
    </w:p>
    <w:p>
      <w:r>
        <w:t>The author declares that the research was conducted in the absence of any commercial or financial relationships that could be construed as a potential conflict of interest.</w:t>
      </w:r>
    </w:p>
    <w:p>
      <w:pPr>
        <w:pStyle w:val="Heading1"/>
      </w:pPr>
      <w:r>
        <w:t>Acknowledgments</w:t>
      </w:r>
    </w:p>
    <w:p>
      <w:r>
        <w:t>The author thanks the data generators of GSE167232 and GSE287288 for making their data publicly available. AI-assisted tools were used for code development and manuscript preparation; all analyses were verified and the manuscript was reviewed for scientific accuracy by the author.</w:t>
      </w:r>
    </w:p>
    <w:p>
      <w:r>
        <w:br w:type="page"/>
      </w:r>
    </w:p>
    <w:p>
      <w:pPr>
        <w:pStyle w:val="Heading1"/>
      </w:pPr>
      <w:r>
        <w:t>References</w:t>
      </w:r>
    </w:p>
    <w:p>
      <w:r>
        <w:t>1. Pisu D, Huang L, Narang V, et al. Single cell analysis of M. tuberculosis phenotype and macrophage lineages in the infected lung. J Exp Med. 2021;218(9):e20210615. doi: 10.1084/jem.20210615</w:t>
      </w:r>
    </w:p>
    <w:p>
      <w:r>
        <w:t>2. Gong Z, Xu H, Zhang Q, Chen Y, Xie J. Unveiling the immunological landscape of disseminated tuberculosis: a single-cell transcriptome perspective. Front Immunol. 2025;16:1527592. doi: 10.3389/fimmu.2025.1527592</w:t>
      </w:r>
    </w:p>
    <w:p>
      <w:r>
        <w:t>3. Stuart T, Butler A, Hoffman P, et al. Comprehensive Integration of Single-Cell Data. Cell. 2019;177(7):1888-1902.e21. doi: 10.1016/j.cell.2019.05.031</w:t>
      </w:r>
    </w:p>
    <w:p>
      <w:r>
        <w:t>4. Hao Y, Hao S, Andersen-Nissen E, et al. Integrated analysis of multimodal single-cell data. Cell. 2021;184(13):3573-3587.e29. doi: 10.1016/j.cell.2021.04.048</w:t>
      </w:r>
    </w:p>
    <w:p>
      <w:r>
        <w:t>5. Netea MG, Dominguez-Andres J, Barreiro LB, et al. Defining trained immunity and its role in health and disease. Nat Rev Immunol. 2020;20(6):375-388. doi: 10.1038/s41577-020-0285-6</w:t>
      </w:r>
    </w:p>
    <w:p>
      <w:r>
        <w:t>6. Cheng SC, Quintin J, Cramer RA, et al. mTOR- and HIF-1alpha-mediated aerobic glycolysis as metabolic basis for trained immunity. Science. 2014;345(6204):1250684. doi: 10.1126/science.1250684</w:t>
      </w:r>
    </w:p>
    <w:p>
      <w:r>
        <w:t>7. Buenrostro JD, Wu B, Chang HY, Greenleaf WJ. ATAC-seq: A Method for Assaying Chromatin Accessibility Genome-Wide. Curr Protoc Mol Biol. 2015;109:21.29.1-21.29.9. doi: 10.1002/0471142727.mb2129s109</w:t>
      </w:r>
    </w:p>
    <w:p>
      <w:r>
        <w:t>8. Granja JM, Corces MR, Pierce SE, et al. ArchR is a scalable software package for integrative single-cell chromatin accessibility analysis. Nat Genet. 2021;53(3):403-411. doi: 10.1038/s41588-021-00790-6</w:t>
      </w:r>
    </w:p>
    <w:p>
      <w:r>
        <w:t>9. Satpathy AT, Granja JM, Yost KE, et al. Massively parallel single-cell chromatin landscapes of human immune cell development and intratumoral T cell exhaustion. Nat Biotechnol. 2019;37(8):925-936. doi: 10.1038/s41587-019-0206-z</w:t>
      </w:r>
    </w:p>
    <w:p>
      <w:r>
        <w:t>10. World Health Organization. Global tuberculosis report 2024. Geneva: WHO; 2024.</w:t>
      </w:r>
    </w:p>
    <w:p>
      <w:r>
        <w:br w:type="page"/>
      </w:r>
    </w:p>
    <w:p>
      <w:pPr>
        <w:pStyle w:val="Heading1"/>
      </w:pPr>
      <w:r>
        <w:t>Figure Legends</w:t>
      </w:r>
    </w:p>
    <w:p>
      <w:r>
        <w:rPr>
          <w:b/>
        </w:rPr>
        <w:t xml:space="preserve">Figure 1. </w:t>
      </w:r>
      <w:r>
        <w:t>Chromatin Priming Index by cell type. CPI (%) for each cell type in BAL (GSE167232) and DTB PBMC (GSE287288) datasets.</w:t>
      </w:r>
    </w:p>
    <w:p>
      <w:r>
        <w:rPr>
          <w:b/>
        </w:rPr>
        <w:t xml:space="preserve">Figure 2. </w:t>
      </w:r>
      <w:r>
        <w:t>UMAP visualization of DTB PBMC cell types from GSE287288.</w:t>
      </w:r>
    </w:p>
    <w:p>
      <w:r>
        <w:rPr>
          <w:b/>
        </w:rPr>
        <w:t xml:space="preserve">Figure 3. </w:t>
      </w:r>
      <w:r>
        <w:t>Master regulator TF ranking by composite score. Red bars indicate chromatin-primed TFs.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