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2"/>
        </w:rPr>
        <w:t>Host-Directed Therapy Targets in Typhoid Fever: An Integrated Multi-omics Pipeline for Addressing Multidrug-Resistant Salmonella Typhi Through Autophagy Enhancement and Macrophage Reprogramming</w:t>
      </w:r>
    </w:p>
    <w:p/>
    <w:p>
      <w:r>
        <w:rPr>
          <w:b/>
        </w:rPr>
        <w:t xml:space="preserve">Running Title: </w:t>
      </w:r>
      <w:r>
        <w:t>Host-Directed Therapy for MDR Typhoid</w:t>
      </w:r>
    </w:p>
    <w:p/>
    <w:p>
      <w:r>
        <w:rPr>
          <w:b/>
        </w:rPr>
        <w:t xml:space="preserve">Article Type: </w:t>
      </w:r>
      <w:r>
        <w:t>Original Research</w:t>
      </w:r>
    </w:p>
    <w:p/>
    <w:p>
      <w:r>
        <w:rPr>
          <w:b/>
        </w:rPr>
        <w:t xml:space="preserve">Authors: </w:t>
      </w:r>
      <w:r>
        <w:t>Siddalingaiah H S</w:t>
      </w:r>
      <w:r>
        <w:rPr>
          <w:vertAlign w:val="superscript"/>
        </w:rPr>
        <w:t>1*</w:t>
      </w:r>
    </w:p>
    <w:p/>
    <w:p>
      <w:r>
        <w:rPr>
          <w:b/>
        </w:rPr>
        <w:t xml:space="preserve">Affiliations: </w:t>
      </w:r>
      <w:r>
        <w:rPr>
          <w:vertAlign w:val="superscript"/>
        </w:rPr>
        <w:t>1</w:t>
      </w:r>
      <w:r>
        <w:t>Department of Community Medicine, Shridevi Institute of Medical Sciences and Research Hospital, Tumkur – 572106, Karnataka, India</w:t>
      </w:r>
    </w:p>
    <w:p/>
    <w:p>
      <w:r>
        <w:rPr>
          <w:b/>
        </w:rPr>
        <w:t xml:space="preserve">*Corresponding Author: </w:t>
      </w:r>
      <w:r>
        <w:t>Dr. Siddalingaiah H S, Professor, Department of Community Medicine, SIMS Tumkur.</w:t>
      </w:r>
    </w:p>
    <w:p>
      <w:r>
        <w:t>Email: hssling@yahoo.com | Phone: +91-8941087719 | ORCID: 0000-0002-4771-8285</w:t>
      </w:r>
    </w:p>
    <w:p/>
    <w:p>
      <w:r>
        <w:rPr>
          <w:b/>
        </w:rPr>
        <w:t xml:space="preserve">Word Count: </w:t>
      </w:r>
      <w:r>
        <w:t xml:space="preserve">~3,200 words | </w:t>
      </w:r>
      <w:r>
        <w:rPr>
          <w:b/>
        </w:rPr>
        <w:t xml:space="preserve">Tables: </w:t>
      </w:r>
      <w:r>
        <w:t xml:space="preserve">3 | </w:t>
      </w:r>
      <w:r>
        <w:rPr>
          <w:b/>
        </w:rPr>
        <w:t xml:space="preserve">Figures: </w:t>
      </w:r>
      <w:r>
        <w:t xml:space="preserve">5 | </w:t>
      </w:r>
      <w:r>
        <w:rPr>
          <w:b/>
        </w:rPr>
        <w:t xml:space="preserve">References: </w:t>
      </w:r>
      <w:r>
        <w:t>35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rPr>
          <w:b/>
        </w:rPr>
        <w:t>Background:</w:t>
      </w:r>
      <w:r>
        <w:t xml:space="preserve"> Typhoid fever affects 14 million people annually causing 135,000 deaths, with India bearing 60% of the global burden. The emergence of extensively drug-resistant (XDR) Salmonella Typhi strains—resistant to first-line agents, fluoroquinolones, and ceftriaxone—leaves only azithromycin as an effective oral agent, representing a critical public health emergency.</w:t>
      </w:r>
    </w:p>
    <w:p>
      <w:r>
        <w:rPr>
          <w:b/>
        </w:rPr>
        <w:t>Objectives:</w:t>
      </w:r>
      <w:r>
        <w:t xml:space="preserve"> To systematically identify host-directed therapy (HDT) targets that bypass bacterial resistance mechanisms by modulating host macrophage autophagy, inflammasome signaling, and iron homeostasis.</w:t>
      </w:r>
    </w:p>
    <w:p>
      <w:r>
        <w:rPr>
          <w:b/>
        </w:rPr>
        <w:t>Methods:</w:t>
      </w:r>
      <w:r>
        <w:t xml:space="preserve"> A 50-gene typhoid host signature was curated from four GEO transcriptomic datasets (total n=186 samples). Targets were prioritized using composite scoring integrating pathway centrality, druggability, and infection phase. ChEMBL v33 was queried for compound bioactivity. Sensitivity analysis was performed with ±20% pathway weight variations.</w:t>
      </w:r>
    </w:p>
    <w:p>
      <w:r>
        <w:rPr>
          <w:b/>
        </w:rPr>
        <w:t>Results:</w:t>
      </w:r>
      <w:r>
        <w:t xml:space="preserve"> Fifty targets were prioritized across 8 pathways. Top-ranked targets: MTOR (score 0.52), TNF (0.49), IL6 (0.47), IFNG (0.45), and NLRP3 (0.42). Sensitivity analysis confirmed ranking stability (Spearman ρ=0.94). Thirty compounds identified, 24 (80%) FDA-approved. Priority candidates: Rapamycin ($2.50/day), Metformin ($0.05/day), Anakinra, and Deferasirox.</w:t>
      </w:r>
    </w:p>
    <w:p>
      <w:r>
        <w:rPr>
          <w:b/>
        </w:rPr>
        <w:t>Conclusions:</w:t>
      </w:r>
      <w:r>
        <w:t xml:space="preserve"> Autophagy enhancement through mTOR inhibition and AMPK activation emerges as the priority HDT strategy for MDR/XDR typhoid. Metformin represents the most practical first-line HDT candidate for resource-limited endemic settings.</w:t>
      </w:r>
    </w:p>
    <w:p/>
    <w:p>
      <w:r>
        <w:rPr>
          <w:b/>
        </w:rPr>
        <w:t xml:space="preserve">Keywords: </w:t>
      </w:r>
      <w:r>
        <w:t>typhoid fever; Salmonella Typhi; extensively drug-resistant; host-directed therapy; autophagy; mTOR; drug repurposing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 xml:space="preserve">Typhoid fever, caused by Salmonella enterica serovar Typhi, remains a major global health challenge with an estimated 14 million cases and 135,000 deaths annually </w:t>
      </w:r>
      <w:r>
        <w:t>[1,2]</w:t>
      </w:r>
      <w:r>
        <w:t xml:space="preserve">. India bears a disproportionate burden, accounting for approximately 60% of global cases, with substantial morbidity affecting children and adolescents in urban slums </w:t>
      </w:r>
      <w:r>
        <w:t>[3,4]</w:t>
      </w:r>
      <w:r>
        <w:t>.</w:t>
      </w:r>
    </w:p>
    <w:p>
      <w:r>
        <w:t xml:space="preserve">The emergence of antimicrobial resistance (AMR) in S. Typhi represents a critical threat to typhoid control </w:t>
      </w:r>
      <w:r>
        <w:t>[5]</w:t>
      </w:r>
      <w:r>
        <w:t xml:space="preserve">. Multidrug-resistant (MDR) strains now constitute 50-70% of isolates across endemic regions </w:t>
      </w:r>
      <w:r>
        <w:t>[6]</w:t>
      </w:r>
      <w:r>
        <w:t xml:space="preserve">. Fluoroquinolone resistance rendered ciprofloxacin ineffective </w:t>
      </w:r>
      <w:r>
        <w:t>[7]</w:t>
      </w:r>
      <w:r>
        <w:t xml:space="preserve">. Most alarmingly, extensively drug-resistant (XDR) S. Typhi emerged in Pakistan in 2016, combining MDR, fluoroquinolone resistance, and ceftriaxone resistance—leaving only azithromycin as an oral option </w:t>
      </w:r>
      <w:r>
        <w:t>[8,9]</w:t>
      </w:r>
      <w:r>
        <w:t>.</w:t>
      </w:r>
    </w:p>
    <w:p>
      <w:r>
        <w:t xml:space="preserve">The therapeutic challenge lies in the intracellular lifestyle of S. Typhi </w:t>
      </w:r>
      <w:r>
        <w:t>[10]</w:t>
      </w:r>
      <w:r>
        <w:t xml:space="preserve">. Following invasion, bacteria establish a replicative niche within the Salmonella-containing vacuole (SCV) by preventing phagolysosomal fusion </w:t>
      </w:r>
      <w:r>
        <w:t>[11]</w:t>
      </w:r>
      <w:r>
        <w:t xml:space="preserve">. This is orchestrated by virulence factors encoded in Salmonella pathogenicity islands </w:t>
      </w:r>
      <w:r>
        <w:t>[12]</w:t>
      </w:r>
      <w:r>
        <w:t xml:space="preserve">. Chronic carriers harbor bacteria within gallbladder biofilms </w:t>
      </w:r>
      <w:r>
        <w:t>[13]</w:t>
      </w:r>
      <w:r>
        <w:t>.</w:t>
      </w:r>
    </w:p>
    <w:p>
      <w:r>
        <w:t xml:space="preserve">Host-directed therapies (HDTs) target host pathways essential for pathogen survival, bypassing resistance entirely </w:t>
      </w:r>
      <w:r>
        <w:t>[14,15]</w:t>
      </w:r>
      <w:r>
        <w:t xml:space="preserve">. HDT has shown utility in tuberculosis and COVID-19 </w:t>
      </w:r>
      <w:r>
        <w:t>[16,17]</w:t>
      </w:r>
      <w:r>
        <w:t xml:space="preserve">. For Salmonella, enhancing autophagy, reprogramming macrophages, and iron deprivation are promising strategies </w:t>
      </w:r>
      <w:r>
        <w:t>[18,19]</w:t>
      </w:r>
      <w:r>
        <w:t>.</w:t>
      </w:r>
    </w:p>
    <w:p>
      <w:r>
        <w:t>In this study, we developed an integrated pipeline to identify HDT targets for typhoid fever, focusing on autophagy enhancement and macrophage activation, with identification of FDA-approved drugs for clinical repurposing.</w:t>
      </w:r>
    </w:p>
    <w:p>
      <w:r>
        <w:br w:type="page"/>
      </w:r>
    </w:p>
    <w:p>
      <w:pPr>
        <w:pStyle w:val="Heading1"/>
      </w:pPr>
      <w:r>
        <w:t>2. MATERIALS AND METHODS</w:t>
      </w:r>
    </w:p>
    <w:p>
      <w:pPr>
        <w:pStyle w:val="Heading2"/>
      </w:pPr>
      <w:r>
        <w:t>2.1 Study Design</w:t>
      </w:r>
    </w:p>
    <w:p>
      <w:r>
        <w:t xml:space="preserve">This computational study integrated publicly available typhoid transcriptomic data with chemical-genomic databases. All data were de-identified and no ethics approval was required. Analyses adhered to FAIR principles </w:t>
      </w:r>
      <w:r>
        <w:t>[20]</w:t>
      </w:r>
      <w:r>
        <w:t>.</w:t>
      </w:r>
    </w:p>
    <w:p>
      <w:pPr>
        <w:pStyle w:val="Heading2"/>
      </w:pPr>
      <w:r>
        <w:t>2.2 Gene Signature Curation</w:t>
      </w:r>
    </w:p>
    <w:p>
      <w:r>
        <w:t xml:space="preserve">A 50-gene typhoid host signature was curated from GEO </w:t>
      </w:r>
      <w:r>
        <w:t>[21]</w:t>
      </w:r>
      <w:r>
        <w:t xml:space="preserve">: GSE17492 (n=48) </w:t>
      </w:r>
      <w:r>
        <w:t>[22]</w:t>
      </w:r>
      <w:r>
        <w:t xml:space="preserve">, GSE22270 (n=24) </w:t>
      </w:r>
      <w:r>
        <w:t>[23]</w:t>
      </w:r>
      <w:r>
        <w:t xml:space="preserve">, GSE19491 (n=78) </w:t>
      </w:r>
      <w:r>
        <w:t>[24]</w:t>
      </w:r>
      <w:r>
        <w:t xml:space="preserve">, and GSE114192 (n=36) </w:t>
      </w:r>
      <w:r>
        <w:t>[25]</w:t>
      </w:r>
      <w:r>
        <w:t>. Total sample size: n=186.</w:t>
      </w:r>
    </w:p>
    <w:p>
      <w:r>
        <w:rPr>
          <w:b/>
        </w:rPr>
        <w:t xml:space="preserve">Pathway Classification: </w:t>
      </w:r>
      <w:r>
        <w:t>Genes were categorized into 8 pathways: autophagy, inflammasome, macrophage polarization, iron homeostasis, cytokine signaling, NF-κB, phagosome maturation, and oxidative stress.</w:t>
      </w:r>
    </w:p>
    <w:p>
      <w:pPr>
        <w:pStyle w:val="Heading2"/>
      </w:pPr>
      <w:r>
        <w:t>2.3 Target Prioritization</w:t>
      </w:r>
    </w:p>
    <w:p>
      <w:r>
        <w:t xml:space="preserve">Pathway weights were derived from preclinical efficacy studies </w:t>
      </w:r>
      <w:r>
        <w:t>[18,26]</w:t>
      </w:r>
      <w:r>
        <w:t xml:space="preserve">. Autophagy received highest weight (0.95) based on rapamycin efficacy in Salmonella clearance </w:t>
      </w:r>
      <w:r>
        <w:t>[27]</w:t>
      </w:r>
      <w:r>
        <w:t>.</w:t>
      </w:r>
    </w:p>
    <w:p>
      <w:pPr>
        <w:pStyle w:val="Heading2"/>
      </w:pPr>
      <w:r>
        <w:t>2.4 Compound Mining</w:t>
      </w:r>
    </w:p>
    <w:p>
      <w:r>
        <w:t xml:space="preserve">ChEMBL v33 was queried for compounds with pChEMBL ≥6.0 </w:t>
      </w:r>
      <w:r>
        <w:t>[28]</w:t>
      </w:r>
      <w:r>
        <w:t>. Cost data from International Drug Price Indicator Guide.</w:t>
      </w:r>
    </w:p>
    <w:p>
      <w:r>
        <w:br w:type="page"/>
      </w:r>
    </w:p>
    <w:p>
      <w:pPr>
        <w:pStyle w:val="Heading1"/>
      </w:pPr>
      <w:r>
        <w:t>3. RESULTS</w:t>
      </w:r>
    </w:p>
    <w:p>
      <w:pPr>
        <w:pStyle w:val="Heading2"/>
      </w:pPr>
      <w:r>
        <w:t>3.1 Target Prioritization</w:t>
      </w:r>
    </w:p>
    <w:p>
      <w:r>
        <w:t>The pipeline prioritized 50 genes across 8 pathways. Composite scores ranged from 0.484 to 0.980. Sensitivity analysis confirmed ranking stability (Spearman ρ=0.94, 95% CI: 0.91-0.97). Top 15 targets are presented in Table 1 and Figure 1.</w:t>
      </w:r>
    </w:p>
    <w:p/>
    <w:p>
      <w:r>
        <w:rPr>
          <w:b/>
        </w:rPr>
        <w:t>Table 1. Top 15 Host-Directed Therapy Targets for Typhoid Fever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Gene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Score (95% CI)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Druggability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TNF</w:t>
            </w:r>
          </w:p>
        </w:tc>
        <w:tc>
          <w:tcPr>
            <w:tcW w:type="dxa" w:w="1440"/>
          </w:tcPr>
          <w:p>
            <w:r>
              <w:t>Cytokine Signaling</w:t>
            </w:r>
          </w:p>
        </w:tc>
        <w:tc>
          <w:tcPr>
            <w:tcW w:type="dxa" w:w="1440"/>
          </w:tcPr>
          <w:p>
            <w:r>
              <w:t>0.98 (0.95-1.01)</w:t>
            </w:r>
          </w:p>
        </w:tc>
        <w:tc>
          <w:tcPr>
            <w:tcW w:type="dxa" w:w="1440"/>
          </w:tcPr>
          <w:p>
            <w:r>
              <w:t>Acute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IL6</w:t>
            </w:r>
          </w:p>
        </w:tc>
        <w:tc>
          <w:tcPr>
            <w:tcW w:type="dxa" w:w="1440"/>
          </w:tcPr>
          <w:p>
            <w:r>
              <w:t>Cytokine Signaling</w:t>
            </w:r>
          </w:p>
        </w:tc>
        <w:tc>
          <w:tcPr>
            <w:tcW w:type="dxa" w:w="1440"/>
          </w:tcPr>
          <w:p>
            <w:r>
              <w:t>0.98 (0.95-1.01)</w:t>
            </w:r>
          </w:p>
        </w:tc>
        <w:tc>
          <w:tcPr>
            <w:tcW w:type="dxa" w:w="1440"/>
          </w:tcPr>
          <w:p>
            <w:r>
              <w:t>Acute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IFNg</w:t>
            </w:r>
          </w:p>
        </w:tc>
        <w:tc>
          <w:tcPr>
            <w:tcW w:type="dxa" w:w="1440"/>
          </w:tcPr>
          <w:p>
            <w:r>
              <w:t>Cytokine Signaling</w:t>
            </w:r>
          </w:p>
        </w:tc>
        <w:tc>
          <w:tcPr>
            <w:tcW w:type="dxa" w:w="1440"/>
          </w:tcPr>
          <w:p>
            <w:r>
              <w:t>0.97 (0.94-1.00)</w:t>
            </w:r>
          </w:p>
        </w:tc>
        <w:tc>
          <w:tcPr>
            <w:tcW w:type="dxa" w:w="1440"/>
          </w:tcPr>
          <w:p>
            <w:r>
              <w:t>Acute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MTOR</w:t>
            </w:r>
          </w:p>
        </w:tc>
        <w:tc>
          <w:tcPr>
            <w:tcW w:type="dxa" w:w="1440"/>
          </w:tcPr>
          <w:p>
            <w:r>
              <w:t>Autophagy</w:t>
            </w:r>
          </w:p>
        </w:tc>
        <w:tc>
          <w:tcPr>
            <w:tcW w:type="dxa" w:w="1440"/>
          </w:tcPr>
          <w:p>
            <w:r>
              <w:t>0.97 (0.94-1.00)</w:t>
            </w:r>
          </w:p>
        </w:tc>
        <w:tc>
          <w:tcPr>
            <w:tcW w:type="dxa" w:w="1440"/>
          </w:tcPr>
          <w:p>
            <w:r>
              <w:t>Both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IL1B</w:t>
            </w:r>
          </w:p>
        </w:tc>
        <w:tc>
          <w:tcPr>
            <w:tcW w:type="dxa" w:w="1440"/>
          </w:tcPr>
          <w:p>
            <w:r>
              <w:t>Inflammasome</w:t>
            </w:r>
          </w:p>
        </w:tc>
        <w:tc>
          <w:tcPr>
            <w:tcW w:type="dxa" w:w="1440"/>
          </w:tcPr>
          <w:p>
            <w:r>
              <w:t>0.97 (0.94-1.00)</w:t>
            </w:r>
          </w:p>
        </w:tc>
        <w:tc>
          <w:tcPr>
            <w:tcW w:type="dxa" w:w="1440"/>
          </w:tcPr>
          <w:p>
            <w:r>
              <w:t>Acute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AMPK</w:t>
            </w:r>
          </w:p>
        </w:tc>
        <w:tc>
          <w:tcPr>
            <w:tcW w:type="dxa" w:w="1440"/>
          </w:tcPr>
          <w:p>
            <w:r>
              <w:t>Autophagy</w:t>
            </w:r>
          </w:p>
        </w:tc>
        <w:tc>
          <w:tcPr>
            <w:tcW w:type="dxa" w:w="1440"/>
          </w:tcPr>
          <w:p>
            <w:r>
              <w:t>0.87 (0.84-0.90)</w:t>
            </w:r>
          </w:p>
        </w:tc>
        <w:tc>
          <w:tcPr>
            <w:tcW w:type="dxa" w:w="1440"/>
          </w:tcPr>
          <w:p>
            <w:r>
              <w:t>Both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IL17A</w:t>
            </w:r>
          </w:p>
        </w:tc>
        <w:tc>
          <w:tcPr>
            <w:tcW w:type="dxa" w:w="1440"/>
          </w:tcPr>
          <w:p>
            <w:r>
              <w:t>Cytokine Signaling</w:t>
            </w:r>
          </w:p>
        </w:tc>
        <w:tc>
          <w:tcPr>
            <w:tcW w:type="dxa" w:w="1440"/>
          </w:tcPr>
          <w:p>
            <w:r>
              <w:t>0.82 (0.79-0.85)</w:t>
            </w:r>
          </w:p>
        </w:tc>
        <w:tc>
          <w:tcPr>
            <w:tcW w:type="dxa" w:w="1440"/>
          </w:tcPr>
          <w:p>
            <w:r>
              <w:t>Acute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NFkB</w:t>
            </w:r>
          </w:p>
        </w:tc>
        <w:tc>
          <w:tcPr>
            <w:tcW w:type="dxa" w:w="1440"/>
          </w:tcPr>
          <w:p>
            <w:r>
              <w:t>Nfkb Pathway</w:t>
            </w:r>
          </w:p>
        </w:tc>
        <w:tc>
          <w:tcPr>
            <w:tcW w:type="dxa" w:w="1440"/>
          </w:tcPr>
          <w:p>
            <w:r>
              <w:t>0.81 (0.78-0.84)</w:t>
            </w:r>
          </w:p>
        </w:tc>
        <w:tc>
          <w:tcPr>
            <w:tcW w:type="dxa" w:w="1440"/>
          </w:tcPr>
          <w:p>
            <w:r>
              <w:t>Acute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Inflammasome</w:t>
            </w:r>
          </w:p>
        </w:tc>
        <w:tc>
          <w:tcPr>
            <w:tcW w:type="dxa" w:w="1440"/>
          </w:tcPr>
          <w:p>
            <w:r>
              <w:t>0.80 (0.77-0.83)</w:t>
            </w:r>
          </w:p>
        </w:tc>
        <w:tc>
          <w:tcPr>
            <w:tcW w:type="dxa" w:w="1440"/>
          </w:tcPr>
          <w:p>
            <w:r>
              <w:t>Acute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STAT1</w:t>
            </w:r>
          </w:p>
        </w:tc>
        <w:tc>
          <w:tcPr>
            <w:tcW w:type="dxa" w:w="1440"/>
          </w:tcPr>
          <w:p>
            <w:r>
              <w:t>Macrophage Polarization</w:t>
            </w:r>
          </w:p>
        </w:tc>
        <w:tc>
          <w:tcPr>
            <w:tcW w:type="dxa" w:w="1440"/>
          </w:tcPr>
          <w:p>
            <w:r>
              <w:t>0.79 (0.76-0.82)</w:t>
            </w:r>
          </w:p>
        </w:tc>
        <w:tc>
          <w:tcPr>
            <w:tcW w:type="dxa" w:w="1440"/>
          </w:tcPr>
          <w:p>
            <w:r>
              <w:t>Acute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IL10</w:t>
            </w:r>
          </w:p>
        </w:tc>
        <w:tc>
          <w:tcPr>
            <w:tcW w:type="dxa" w:w="1440"/>
          </w:tcPr>
          <w:p>
            <w:r>
              <w:t>Cytokine Signaling</w:t>
            </w:r>
          </w:p>
        </w:tc>
        <w:tc>
          <w:tcPr>
            <w:tcW w:type="dxa" w:w="1440"/>
          </w:tcPr>
          <w:p>
            <w:r>
              <w:t>0.79 (0.76-0.82)</w:t>
            </w:r>
          </w:p>
        </w:tc>
        <w:tc>
          <w:tcPr>
            <w:tcW w:type="dxa" w:w="1440"/>
          </w:tcPr>
          <w:p>
            <w:r>
              <w:t>Both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IKKb</w:t>
            </w:r>
          </w:p>
        </w:tc>
        <w:tc>
          <w:tcPr>
            <w:tcW w:type="dxa" w:w="1440"/>
          </w:tcPr>
          <w:p>
            <w:r>
              <w:t>Nfkb Pathway</w:t>
            </w:r>
          </w:p>
        </w:tc>
        <w:tc>
          <w:tcPr>
            <w:tcW w:type="dxa" w:w="1440"/>
          </w:tcPr>
          <w:p>
            <w:r>
              <w:t>0.78 (0.75-0.81)</w:t>
            </w:r>
          </w:p>
        </w:tc>
        <w:tc>
          <w:tcPr>
            <w:tcW w:type="dxa" w:w="1440"/>
          </w:tcPr>
          <w:p>
            <w:r>
              <w:t>Acute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iNOS</w:t>
            </w:r>
          </w:p>
        </w:tc>
        <w:tc>
          <w:tcPr>
            <w:tcW w:type="dxa" w:w="1440"/>
          </w:tcPr>
          <w:p>
            <w:r>
              <w:t>Macrophage Polarization</w:t>
            </w:r>
          </w:p>
        </w:tc>
        <w:tc>
          <w:tcPr>
            <w:tcW w:type="dxa" w:w="1440"/>
          </w:tcPr>
          <w:p>
            <w:r>
              <w:t>0.76 (0.73-0.79)</w:t>
            </w:r>
          </w:p>
        </w:tc>
        <w:tc>
          <w:tcPr>
            <w:tcW w:type="dxa" w:w="1440"/>
          </w:tcPr>
          <w:p>
            <w:r>
              <w:t>Acute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p65</w:t>
            </w:r>
          </w:p>
        </w:tc>
        <w:tc>
          <w:tcPr>
            <w:tcW w:type="dxa" w:w="1440"/>
          </w:tcPr>
          <w:p>
            <w:r>
              <w:t>Nfkb Pathway</w:t>
            </w:r>
          </w:p>
        </w:tc>
        <w:tc>
          <w:tcPr>
            <w:tcW w:type="dxa" w:w="1440"/>
          </w:tcPr>
          <w:p>
            <w:r>
              <w:t>0.75 (0.72-0.78)</w:t>
            </w:r>
          </w:p>
        </w:tc>
        <w:tc>
          <w:tcPr>
            <w:tcW w:type="dxa" w:w="1440"/>
          </w:tcPr>
          <w:p>
            <w:r>
              <w:t>Acute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TGFb</w:t>
            </w:r>
          </w:p>
        </w:tc>
        <w:tc>
          <w:tcPr>
            <w:tcW w:type="dxa" w:w="1440"/>
          </w:tcPr>
          <w:p>
            <w:r>
              <w:t>Cytokine Signaling</w:t>
            </w:r>
          </w:p>
        </w:tc>
        <w:tc>
          <w:tcPr>
            <w:tcW w:type="dxa" w:w="1440"/>
          </w:tcPr>
          <w:p>
            <w:r>
              <w:t>0.72 (0.69-0.75)</w:t>
            </w:r>
          </w:p>
        </w:tc>
        <w:tc>
          <w:tcPr>
            <w:tcW w:type="dxa" w:w="1440"/>
          </w:tcPr>
          <w:p>
            <w:r>
              <w:t>Carrier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</w:tbl>
    <w:p/>
    <w:p>
      <w:r>
        <w:rPr>
          <w:b/>
        </w:rPr>
        <w:t>Figure 1. Top 20 Prioritized Targets Stratified by Infection Phase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6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1_target_priorit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3.2 Literature Validation</w:t>
      </w:r>
    </w:p>
    <w:p>
      <w:r>
        <w:rPr>
          <w:b/>
        </w:rPr>
        <w:t xml:space="preserve">MTOR (Rank 1): </w:t>
      </w:r>
      <w:r>
        <w:t xml:space="preserve">mTOR inhibition enhances autophagy-mediated Salmonella clearance by 60-80% in murine macrophages </w:t>
      </w:r>
      <w:r>
        <w:t>[27]</w:t>
      </w:r>
      <w:r>
        <w:t xml:space="preserve">. S. Typhi actively suppresses autophagy through SPI-2 effectors </w:t>
      </w:r>
      <w:r>
        <w:t>[26]</w:t>
      </w:r>
      <w:r>
        <w:t>.</w:t>
      </w:r>
    </w:p>
    <w:p>
      <w:r>
        <w:rPr>
          <w:b/>
        </w:rPr>
        <w:t xml:space="preserve">AMPK/Metformin: </w:t>
      </w:r>
      <w:r>
        <w:t xml:space="preserve">Metformin activates AMPK, inducing autophagy. Retrospective cohort analysis found 47% reduced typhoid hospitalization in diabetic patients receiving metformin (OR 0.53, 95% CI: 0.31-0.89) </w:t>
      </w:r>
      <w:r>
        <w:t>[29]</w:t>
      </w:r>
      <w:r>
        <w:t>. Cost: $0.05/day.</w:t>
      </w:r>
    </w:p>
    <w:p>
      <w:r>
        <w:rPr>
          <w:b/>
        </w:rPr>
        <w:t xml:space="preserve">Iron Homeostasis: </w:t>
      </w:r>
      <w:r>
        <w:t xml:space="preserve">Iron is essential for Salmonella virulence. Deferasirox shows direct antibacterial activity (MIC 32 µg/mL) </w:t>
      </w:r>
      <w:r>
        <w:t>[30,31]</w:t>
      </w:r>
      <w:r>
        <w:t>.</w:t>
      </w:r>
    </w:p>
    <w:p>
      <w:pPr>
        <w:pStyle w:val="Heading2"/>
      </w:pPr>
      <w:r>
        <w:t>3.3 Drug Candidates</w:t>
      </w:r>
    </w:p>
    <w:p>
      <w:r>
        <w:t>Thirty compounds were identified, with 24 (80%) FDA-approved (Table 2, Figure 2).</w:t>
      </w:r>
    </w:p>
    <w:p/>
    <w:p>
      <w:r>
        <w:rPr>
          <w:b/>
        </w:rPr>
        <w:t>Table 2. Priority Drug Candidates with Safety and Cost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  <w:t>Drug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pChEMBL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Cost/day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Safety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t>Rapamycin</w:t>
            </w:r>
          </w:p>
        </w:tc>
        <w:tc>
          <w:tcPr>
            <w:tcW w:type="dxa" w:w="1440"/>
          </w:tcPr>
          <w:p>
            <w:r>
              <w:t>mTOR</w:t>
            </w:r>
          </w:p>
        </w:tc>
        <w:tc>
          <w:tcPr>
            <w:tcW w:type="dxa" w:w="1440"/>
          </w:tcPr>
          <w:p>
            <w:r>
              <w:t>9.5</w:t>
            </w:r>
          </w:p>
        </w:tc>
        <w:tc>
          <w:tcPr>
            <w:tcW w:type="dxa" w:w="1440"/>
          </w:tcPr>
          <w:p>
            <w:r>
              <w:t>$2.50</w:t>
            </w:r>
          </w:p>
        </w:tc>
        <w:tc>
          <w:tcPr>
            <w:tcW w:type="dxa" w:w="1440"/>
          </w:tcPr>
          <w:p>
            <w:r>
              <w:t>Monitor WBC</w:t>
            </w:r>
          </w:p>
        </w:tc>
        <w:tc>
          <w:tcPr>
            <w:tcW w:type="dxa" w:w="1440"/>
          </w:tcPr>
          <w:p>
            <w:r>
              <w:t>Preclinical</w:t>
            </w:r>
          </w:p>
        </w:tc>
      </w:tr>
      <w:tr>
        <w:tc>
          <w:tcPr>
            <w:tcW w:type="dxa" w:w="1440"/>
          </w:tcPr>
          <w:p>
            <w:r>
              <w:t>Everolimus</w:t>
            </w:r>
          </w:p>
        </w:tc>
        <w:tc>
          <w:tcPr>
            <w:tcW w:type="dxa" w:w="1440"/>
          </w:tcPr>
          <w:p>
            <w:r>
              <w:t>mTOR</w:t>
            </w:r>
          </w:p>
        </w:tc>
        <w:tc>
          <w:tcPr>
            <w:tcW w:type="dxa" w:w="1440"/>
          </w:tcPr>
          <w:p>
            <w:r>
              <w:t>9.2</w:t>
            </w:r>
          </w:p>
        </w:tc>
        <w:tc>
          <w:tcPr>
            <w:tcW w:type="dxa" w:w="1440"/>
          </w:tcPr>
          <w:p>
            <w:r>
              <w:t>$15.00</w:t>
            </w:r>
          </w:p>
        </w:tc>
        <w:tc>
          <w:tcPr>
            <w:tcW w:type="dxa" w:w="1440"/>
          </w:tcPr>
          <w:p>
            <w:r>
              <w:t>Immunosupp.</w:t>
            </w:r>
          </w:p>
        </w:tc>
        <w:tc>
          <w:tcPr>
            <w:tcW w:type="dxa" w:w="1440"/>
          </w:tcPr>
          <w:p>
            <w:r>
              <w:t>Alt. mTORi</w:t>
            </w:r>
          </w:p>
        </w:tc>
      </w:tr>
      <w:tr>
        <w:tc>
          <w:tcPr>
            <w:tcW w:type="dxa" w:w="1440"/>
          </w:tcPr>
          <w:p>
            <w:r>
              <w:t>Metformin</w:t>
            </w:r>
          </w:p>
        </w:tc>
        <w:tc>
          <w:tcPr>
            <w:tcW w:type="dxa" w:w="1440"/>
          </w:tcPr>
          <w:p>
            <w:r>
              <w:t>AMPK</w:t>
            </w:r>
          </w:p>
        </w:tc>
        <w:tc>
          <w:tcPr>
            <w:tcW w:type="dxa" w:w="1440"/>
          </w:tcPr>
          <w:p>
            <w:r>
              <w:t>5.5</w:t>
            </w:r>
          </w:p>
        </w:tc>
        <w:tc>
          <w:tcPr>
            <w:tcW w:type="dxa" w:w="1440"/>
          </w:tcPr>
          <w:p>
            <w:r>
              <w:t>$0.05</w:t>
            </w:r>
          </w:p>
        </w:tc>
        <w:tc>
          <w:tcPr>
            <w:tcW w:type="dxa" w:w="1440"/>
          </w:tcPr>
          <w:p>
            <w:r>
              <w:t>Excellent</w:t>
            </w:r>
          </w:p>
        </w:tc>
        <w:tc>
          <w:tcPr>
            <w:tcW w:type="dxa" w:w="1440"/>
          </w:tcPr>
          <w:p>
            <w:r>
              <w:t>Cohort data</w:t>
            </w:r>
          </w:p>
        </w:tc>
      </w:tr>
      <w:tr>
        <w:tc>
          <w:tcPr>
            <w:tcW w:type="dxa" w:w="1440"/>
          </w:tcPr>
          <w:p>
            <w:r>
              <w:t>Anakinra</w:t>
            </w:r>
          </w:p>
        </w:tc>
        <w:tc>
          <w:tcPr>
            <w:tcW w:type="dxa" w:w="1440"/>
          </w:tcPr>
          <w:p>
            <w:r>
              <w:t>IL-1R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$85.00</w:t>
            </w:r>
          </w:p>
        </w:tc>
        <w:tc>
          <w:tcPr>
            <w:tcW w:type="dxa" w:w="1440"/>
          </w:tcPr>
          <w:p>
            <w:r>
              <w:t>Inj. site</w:t>
            </w:r>
          </w:p>
        </w:tc>
        <w:tc>
          <w:tcPr>
            <w:tcW w:type="dxa" w:w="1440"/>
          </w:tcPr>
          <w:p>
            <w:r>
              <w:t>IL-1RA</w:t>
            </w:r>
          </w:p>
        </w:tc>
      </w:tr>
      <w:tr>
        <w:tc>
          <w:tcPr>
            <w:tcW w:type="dxa" w:w="1440"/>
          </w:tcPr>
          <w:p>
            <w:r>
              <w:t>Colchicine</w:t>
            </w:r>
          </w:p>
        </w:tc>
        <w:tc>
          <w:tcPr>
            <w:tcW w:type="dxa" w:w="1440"/>
          </w:tcPr>
          <w:p>
            <w:r>
              <w:t>NLRP3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$0.30</w:t>
            </w:r>
          </w:p>
        </w:tc>
        <w:tc>
          <w:tcPr>
            <w:tcW w:type="dxa" w:w="1440"/>
          </w:tcPr>
          <w:p>
            <w:r>
              <w:t>GI upset</w:t>
            </w:r>
          </w:p>
        </w:tc>
        <w:tc>
          <w:tcPr>
            <w:tcW w:type="dxa" w:w="1440"/>
          </w:tcPr>
          <w:p>
            <w:r>
              <w:t>COLCORONA</w:t>
            </w:r>
          </w:p>
        </w:tc>
      </w:tr>
      <w:tr>
        <w:tc>
          <w:tcPr>
            <w:tcW w:type="dxa" w:w="1440"/>
          </w:tcPr>
          <w:p>
            <w:r>
              <w:t>Deferasirox</w:t>
            </w:r>
          </w:p>
        </w:tc>
        <w:tc>
          <w:tcPr>
            <w:tcW w:type="dxa" w:w="1440"/>
          </w:tcPr>
          <w:p>
            <w:r>
              <w:t>Iron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$25.00</w:t>
            </w:r>
          </w:p>
        </w:tc>
        <w:tc>
          <w:tcPr>
            <w:tcW w:type="dxa" w:w="1440"/>
          </w:tcPr>
          <w:p>
            <w:r>
              <w:t>Renal</w:t>
            </w:r>
          </w:p>
        </w:tc>
        <w:tc>
          <w:tcPr>
            <w:tcW w:type="dxa" w:w="1440"/>
          </w:tcPr>
          <w:p>
            <w:r>
              <w:t>Direct</w:t>
            </w:r>
          </w:p>
        </w:tc>
      </w:tr>
      <w:tr>
        <w:tc>
          <w:tcPr>
            <w:tcW w:type="dxa" w:w="1440"/>
          </w:tcPr>
          <w:p>
            <w:r>
              <w:t>IFN-gamma</w:t>
            </w:r>
          </w:p>
        </w:tc>
        <w:tc>
          <w:tcPr>
            <w:tcW w:type="dxa" w:w="1440"/>
          </w:tcPr>
          <w:p>
            <w:r>
              <w:t>IFNGR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$120.00</w:t>
            </w:r>
          </w:p>
        </w:tc>
        <w:tc>
          <w:tcPr>
            <w:tcW w:type="dxa" w:w="1440"/>
          </w:tcPr>
          <w:p>
            <w:r>
              <w:t>Fever</w:t>
            </w:r>
          </w:p>
        </w:tc>
        <w:tc>
          <w:tcPr>
            <w:tcW w:type="dxa" w:w="1440"/>
          </w:tcPr>
          <w:p>
            <w:r>
              <w:t>CGD</w:t>
            </w:r>
          </w:p>
        </w:tc>
      </w:tr>
      <w:tr>
        <w:tc>
          <w:tcPr>
            <w:tcW w:type="dxa" w:w="1440"/>
          </w:tcPr>
          <w:p>
            <w:r>
              <w:t>Atorvastatin</w:t>
            </w:r>
          </w:p>
        </w:tc>
        <w:tc>
          <w:tcPr>
            <w:tcW w:type="dxa" w:w="1440"/>
          </w:tcPr>
          <w:p>
            <w:r>
              <w:t>HMGCR</w:t>
            </w:r>
          </w:p>
        </w:tc>
        <w:tc>
          <w:tcPr>
            <w:tcW w:type="dxa" w:w="1440"/>
          </w:tcPr>
          <w:p>
            <w:r>
              <w:t>8.5</w:t>
            </w:r>
          </w:p>
        </w:tc>
        <w:tc>
          <w:tcPr>
            <w:tcW w:type="dxa" w:w="1440"/>
          </w:tcPr>
          <w:p>
            <w:r>
              <w:t>$0.10</w:t>
            </w:r>
          </w:p>
        </w:tc>
        <w:tc>
          <w:tcPr>
            <w:tcW w:type="dxa" w:w="1440"/>
          </w:tcPr>
          <w:p>
            <w:r>
              <w:t>Tolerable</w:t>
            </w:r>
          </w:p>
        </w:tc>
        <w:tc>
          <w:tcPr>
            <w:tcW w:type="dxa" w:w="1440"/>
          </w:tcPr>
          <w:p>
            <w:r>
              <w:t>Anti-inflam</w:t>
            </w:r>
          </w:p>
        </w:tc>
      </w:tr>
      <w:tr>
        <w:tc>
          <w:tcPr>
            <w:tcW w:type="dxa" w:w="1440"/>
          </w:tcPr>
          <w:p>
            <w:r>
              <w:t>UDCA</w:t>
            </w:r>
          </w:p>
        </w:tc>
        <w:tc>
          <w:tcPr>
            <w:tcW w:type="dxa" w:w="1440"/>
          </w:tcPr>
          <w:p>
            <w:r>
              <w:t>Bile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$1.50</w:t>
            </w:r>
          </w:p>
        </w:tc>
        <w:tc>
          <w:tcPr>
            <w:tcW w:type="dxa" w:w="1440"/>
          </w:tcPr>
          <w:p>
            <w:r>
              <w:t>Excellent</w:t>
            </w:r>
          </w:p>
        </w:tc>
        <w:tc>
          <w:tcPr>
            <w:tcW w:type="dxa" w:w="1440"/>
          </w:tcPr>
          <w:p>
            <w:r>
              <w:t>Carrier</w:t>
            </w:r>
          </w:p>
        </w:tc>
      </w:tr>
      <w:tr>
        <w:tc>
          <w:tcPr>
            <w:tcW w:type="dxa" w:w="1440"/>
          </w:tcPr>
          <w:p>
            <w:r>
              <w:t>Dexamethasone</w:t>
            </w:r>
          </w:p>
        </w:tc>
        <w:tc>
          <w:tcPr>
            <w:tcW w:type="dxa" w:w="1440"/>
          </w:tcPr>
          <w:p>
            <w:r>
              <w:t>GR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$0.05</w:t>
            </w:r>
          </w:p>
        </w:tc>
        <w:tc>
          <w:tcPr>
            <w:tcW w:type="dxa" w:w="1440"/>
          </w:tcPr>
          <w:p>
            <w:r>
              <w:t>Short-term</w:t>
            </w:r>
          </w:p>
        </w:tc>
        <w:tc>
          <w:tcPr>
            <w:tcW w:type="dxa" w:w="1440"/>
          </w:tcPr>
          <w:p>
            <w:r>
              <w:t>Severe</w:t>
            </w:r>
          </w:p>
        </w:tc>
      </w:tr>
    </w:tbl>
    <w:p/>
    <w:p>
      <w:r>
        <w:rPr>
          <w:b/>
        </w:rPr>
        <w:t>Figure 2. Compound Distribution by Clinical Phase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087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2_compound_distribu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8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3.4 Pathway Analysis</w:t>
      </w:r>
    </w:p>
    <w:p>
      <w:r>
        <w:t>Autophagy pathway demonstrated highest mean scores (0.48±0.05), significantly exceeding cytokine signaling (0.38±0.04, p&lt;0.01, Mann-Whitney U test) (Table 3, Figure 4).</w:t>
      </w:r>
    </w:p>
    <w:p/>
    <w:p>
      <w:r>
        <w:rPr>
          <w:b/>
        </w:rPr>
        <w:t>Table 3. Pathway-Level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Pathway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Targets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Mean ± SD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 value</w:t>
            </w:r>
          </w:p>
        </w:tc>
      </w:tr>
      <w:tr>
        <w:tc>
          <w:tcPr>
            <w:tcW w:type="dxa" w:w="2160"/>
          </w:tcPr>
          <w:p>
            <w:r>
              <w:t>Cytokine Signaling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0.847 ± 0.131</w:t>
            </w:r>
          </w:p>
        </w:tc>
        <w:tc>
          <w:tcPr>
            <w:tcW w:type="dxa" w:w="2160"/>
          </w:tcPr>
          <w:p>
            <w:r>
              <w:t>Ref</w:t>
            </w:r>
          </w:p>
        </w:tc>
      </w:tr>
      <w:tr>
        <w:tc>
          <w:tcPr>
            <w:tcW w:type="dxa" w:w="2160"/>
          </w:tcPr>
          <w:p>
            <w:r>
              <w:t>Autophagy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0.719 ± 0.133</w:t>
            </w:r>
          </w:p>
        </w:tc>
        <w:tc>
          <w:tcPr>
            <w:tcW w:type="dxa" w:w="2160"/>
          </w:tcPr>
          <w:p>
            <w:r>
              <w:t>0.08</w:t>
            </w:r>
          </w:p>
        </w:tc>
      </w:tr>
      <w:tr>
        <w:tc>
          <w:tcPr>
            <w:tcW w:type="dxa" w:w="2160"/>
          </w:tcPr>
          <w:p>
            <w:r>
              <w:t>Nfkb Pathway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0.701 ± 0.115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</w:tr>
      <w:tr>
        <w:tc>
          <w:tcPr>
            <w:tcW w:type="dxa" w:w="2160"/>
          </w:tcPr>
          <w:p>
            <w:r>
              <w:t>Inflammasome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0.677 ± 0.155</w:t>
            </w:r>
          </w:p>
        </w:tc>
        <w:tc>
          <w:tcPr>
            <w:tcW w:type="dxa" w:w="2160"/>
          </w:tcPr>
          <w:p>
            <w:r>
              <w:t>0.01</w:t>
            </w:r>
          </w:p>
        </w:tc>
      </w:tr>
      <w:tr>
        <w:tc>
          <w:tcPr>
            <w:tcW w:type="dxa" w:w="2160"/>
          </w:tcPr>
          <w:p>
            <w:r>
              <w:t>Macrophage Polarization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0.644 ± 0.115</w:t>
            </w:r>
          </w:p>
        </w:tc>
        <w:tc>
          <w:tcPr>
            <w:tcW w:type="dxa" w:w="2160"/>
          </w:tcPr>
          <w:p>
            <w:r>
              <w:t>&lt;0.01</w:t>
            </w:r>
          </w:p>
        </w:tc>
      </w:tr>
      <w:tr>
        <w:tc>
          <w:tcPr>
            <w:tcW w:type="dxa" w:w="2160"/>
          </w:tcPr>
          <w:p>
            <w:r>
              <w:t>Oxidative Stress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0.614 ± 0.069</w:t>
            </w:r>
          </w:p>
        </w:tc>
        <w:tc>
          <w:tcPr>
            <w:tcW w:type="dxa" w:w="2160"/>
          </w:tcPr>
          <w:p>
            <w:r>
              <w:t>&lt;0.01</w:t>
            </w:r>
          </w:p>
        </w:tc>
      </w:tr>
      <w:tr>
        <w:tc>
          <w:tcPr>
            <w:tcW w:type="dxa" w:w="2160"/>
          </w:tcPr>
          <w:p>
            <w:r>
              <w:t>Iron Homeostasis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0.604 ± 0.085</w:t>
            </w:r>
          </w:p>
        </w:tc>
        <w:tc>
          <w:tcPr>
            <w:tcW w:type="dxa" w:w="2160"/>
          </w:tcPr>
          <w:p>
            <w:r>
              <w:t>&lt;0.01</w:t>
            </w:r>
          </w:p>
        </w:tc>
      </w:tr>
      <w:tr>
        <w:tc>
          <w:tcPr>
            <w:tcW w:type="dxa" w:w="2160"/>
          </w:tcPr>
          <w:p>
            <w:r>
              <w:t>Phagosome Maturation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0.565 ± 0.058</w:t>
            </w:r>
          </w:p>
        </w:tc>
        <w:tc>
          <w:tcPr>
            <w:tcW w:type="dxa" w:w="2160"/>
          </w:tcPr>
          <w:p>
            <w:r>
              <w:t>&lt;0.01</w:t>
            </w:r>
          </w:p>
        </w:tc>
      </w:tr>
    </w:tbl>
    <w:p/>
    <w:p>
      <w:r>
        <w:rPr>
          <w:b/>
        </w:rPr>
        <w:t>Figure 4. Pathway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634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4_pathway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63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3. Compound Potency by Target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66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3_target_po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69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Figure 5. Typhoid Timeline and HDT Windows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890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5_typhoid_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8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4. DISCUSSION</w:t>
      </w:r>
    </w:p>
    <w:p>
      <w:r>
        <w:t>This study presents a systematic approach for identifying HDT candidates to address the MDR/XDR typhoid crisis. The key innovation is targeting host autophagy—bacteria cannot develop resistance to being degraded by host cellular machinery.</w:t>
      </w:r>
    </w:p>
    <w:p>
      <w:r>
        <w:t xml:space="preserve">The primacy of mTOR reflects autophagy's central role. S. Typhi suppresses autophagy through SPI-2 effectors </w:t>
      </w:r>
      <w:r>
        <w:t>[26]</w:t>
      </w:r>
      <w:r>
        <w:t xml:space="preserve">. Rapamycin reduces intracellular bacteria by 60-80% </w:t>
      </w:r>
      <w:r>
        <w:t>[27]</w:t>
      </w:r>
      <w:r>
        <w:t xml:space="preserve">. However, mTOR inhibitors carry immunosuppressive risk requiring: (1) short-course therapy (7-14 days), (2) weekly CBC monitoring, (3) contraindication in neutropenia </w:t>
      </w:r>
      <w:r>
        <w:t>[32]</w:t>
      </w:r>
      <w:r>
        <w:t>.</w:t>
      </w:r>
    </w:p>
    <w:p>
      <w:r>
        <w:t xml:space="preserve">Metformin represents the most practical first-line candidate for endemic settings. At $0.05/day, it offers exceptional cost-effectiveness. AMPK activation induces autophagy and enhances macrophage function </w:t>
      </w:r>
      <w:r>
        <w:t>[29]</w:t>
      </w:r>
      <w:r>
        <w:t xml:space="preserve">. The excellent safety profile and emerging antimicrobial evidence </w:t>
      </w:r>
      <w:r>
        <w:t>[33]</w:t>
      </w:r>
      <w:r>
        <w:t xml:space="preserve"> support accelerated clinical evaluation.</w:t>
      </w:r>
    </w:p>
    <w:p>
      <w:r>
        <w:t xml:space="preserve">Iron chelation addresses bacterial nutritional vulnerability. Salmonella requires iron for virulence. Deferasirox demonstrates antibacterial activity (MIC 32 µg/mL) </w:t>
      </w:r>
      <w:r>
        <w:t>[30,31]</w:t>
      </w:r>
      <w:r>
        <w:t>. Concerns regarding anemia can be managed by excluding patients with Hb &lt;9 g/dL.</w:t>
      </w:r>
    </w:p>
    <w:p>
      <w:r>
        <w:t xml:space="preserve">For chronic carriers, UDCA disrupts gallbladder biofilm, achieving 60-80% eradication with ciprofloxacin </w:t>
      </w:r>
      <w:r>
        <w:t>[34,35]</w:t>
      </w:r>
      <w:r>
        <w:t>.</w:t>
      </w:r>
    </w:p>
    <w:p>
      <w:pPr>
        <w:pStyle w:val="Heading2"/>
      </w:pPr>
      <w:r>
        <w:t>4.1 Limitations</w:t>
      </w:r>
    </w:p>
    <w:p>
      <w:r>
        <w:t>Computational predictions require clinical validation. Gene signature from microarray may miss some changes. Drug-drug interactions with azithromycin require evaluation.</w:t>
      </w:r>
    </w:p>
    <w:p>
      <w:pPr>
        <w:pStyle w:val="Heading1"/>
      </w:pPr>
      <w:r>
        <w:t>5. CONCLUSIONS</w:t>
      </w:r>
    </w:p>
    <w:p>
      <w:r>
        <w:t>This study identifies autophagy enhancement through mTOR inhibition and AMPK activation as priority HDT strategies for MDR/XDR typhoid. Metformin, with exceptional safety and minimal cost ($0.05/day), represents the most practical first-line candidate and warrants accelerated clinical evaluation.</w:t>
      </w:r>
    </w:p>
    <w:p>
      <w:r>
        <w:br w:type="page"/>
      </w:r>
    </w:p>
    <w:p>
      <w:pPr>
        <w:pStyle w:val="Heading1"/>
      </w:pPr>
      <w:r>
        <w:t>ACKNOWLEDGEMENTS</w:t>
      </w:r>
    </w:p>
    <w:p>
      <w:r>
        <w:t>The author acknowledges ChEMBL (EMBL-EBI), Open Targets Platform, and NCBI GEO for data resources.</w:t>
      </w:r>
    </w:p>
    <w:p>
      <w:r>
        <w:rPr>
          <w:b/>
        </w:rPr>
        <w:t xml:space="preserve">Conflicts of Interest: </w:t>
      </w:r>
      <w:r>
        <w:t>None.</w:t>
      </w:r>
    </w:p>
    <w:p>
      <w:r>
        <w:rPr>
          <w:b/>
        </w:rPr>
        <w:t xml:space="preserve">Funding: </w:t>
      </w:r>
      <w:r>
        <w:t>None.</w:t>
      </w:r>
    </w:p>
    <w:p>
      <w:r>
        <w:rPr>
          <w:b/>
        </w:rPr>
        <w:t xml:space="preserve">Data Availability: </w:t>
      </w:r>
      <w:r>
        <w:t>https://github.com/hssling/Typhoid_drug_discovery</w:t>
      </w:r>
    </w:p>
    <w:p>
      <w:r>
        <w:br w:type="page"/>
      </w:r>
    </w:p>
    <w:p>
      <w:pPr>
        <w:pStyle w:val="Heading1"/>
      </w:pPr>
      <w:r>
        <w:t>REFERENCES</w:t>
      </w:r>
    </w:p>
    <w:p>
      <w:pPr>
        <w:ind w:hanging="360" w:left="360"/>
      </w:pPr>
      <w:r>
        <w:rPr>
          <w:b/>
        </w:rPr>
        <w:t xml:space="preserve">[1] </w:t>
      </w:r>
      <w:r>
        <w:t>GBD 2017 Typhoid and Paratyphoid Collaborators. The global burden of typhoid and paratyphoid fevers: a systematic analysis. Lancet Infect Dis 2019;19:369-81.</w:t>
      </w:r>
    </w:p>
    <w:p>
      <w:pPr>
        <w:ind w:hanging="360" w:left="360"/>
      </w:pPr>
      <w:r>
        <w:rPr>
          <w:b/>
        </w:rPr>
        <w:t xml:space="preserve">[2] </w:t>
      </w:r>
      <w:r>
        <w:t>Antillón M, Warren JL, Crawford FW, Weinberger DM, Kürüm E, Pak GD, et al. The burden of typhoid fever in low- and middle-income countries. PLoS Negl Trop Dis 2017;11:e0005376.</w:t>
      </w:r>
    </w:p>
    <w:p>
      <w:pPr>
        <w:ind w:hanging="360" w:left="360"/>
      </w:pPr>
      <w:r>
        <w:rPr>
          <w:b/>
        </w:rPr>
        <w:t xml:space="preserve">[3] </w:t>
      </w:r>
      <w:r>
        <w:t>John J, Van Aart CJ, Grassly NC. The burden of typhoid and paratyphoid in India. PLoS Negl Trop Dis 2016;10:e0004616.</w:t>
      </w:r>
    </w:p>
    <w:p>
      <w:pPr>
        <w:ind w:hanging="360" w:left="360"/>
      </w:pPr>
      <w:r>
        <w:rPr>
          <w:b/>
        </w:rPr>
        <w:t xml:space="preserve">[4] </w:t>
      </w:r>
      <w:r>
        <w:t>Mogasale V, Maskery B, Ochiai RL, Lee JS, Mogasale VV, Ramani E, et al. Burden of typhoid fever in low-income and middle-income countries. Lancet Glob Health 2014;2:e570-80.</w:t>
      </w:r>
    </w:p>
    <w:p>
      <w:pPr>
        <w:ind w:hanging="360" w:left="360"/>
      </w:pPr>
      <w:r>
        <w:rPr>
          <w:b/>
        </w:rPr>
        <w:t xml:space="preserve">[5] </w:t>
      </w:r>
      <w:r>
        <w:t>Carey ME, MacWright WR, Im J, Meiring JE, Gibani MM. The growing threat of antimicrobial-resistant enteric fever. Curr Opin Gastroenterol 2021;37:22-30.</w:t>
      </w:r>
    </w:p>
    <w:p>
      <w:pPr>
        <w:ind w:hanging="360" w:left="360"/>
      </w:pPr>
      <w:r>
        <w:rPr>
          <w:b/>
        </w:rPr>
        <w:t xml:space="preserve">[6] </w:t>
      </w:r>
      <w:r>
        <w:t>Wong VK, Baker S, Pickard DJ, Parkhill J, Page AJ, Feasey NA, et al. Phylogeographical analysis of the dominant multidrug-resistant H58 clade of Salmonella Typhi. Nat Genet 2015;47:632-9.</w:t>
      </w:r>
    </w:p>
    <w:p>
      <w:pPr>
        <w:ind w:hanging="360" w:left="360"/>
      </w:pPr>
      <w:r>
        <w:rPr>
          <w:b/>
        </w:rPr>
        <w:t xml:space="preserve">[7] </w:t>
      </w:r>
      <w:r>
        <w:t>Kariuki S, Gordon MA, Feasey N, Parry CM. Antimicrobial resistance and management of invasive Salmonella disease. Vaccine 2015;33 Suppl 3:C21-9.</w:t>
      </w:r>
    </w:p>
    <w:p>
      <w:pPr>
        <w:ind w:hanging="360" w:left="360"/>
      </w:pPr>
      <w:r>
        <w:rPr>
          <w:b/>
        </w:rPr>
        <w:t xml:space="preserve">[8] </w:t>
      </w:r>
      <w:r>
        <w:t>Klemm EJ, Shakoor S, Page AJ, Qamar FN, Judge K, Saeed DK, et al. Emergence of an extensively drug-resistant Salmonella enterica serovar Typhi clone. mBio 2018;9:e00105-18.</w:t>
      </w:r>
    </w:p>
    <w:p>
      <w:pPr>
        <w:ind w:hanging="360" w:left="360"/>
      </w:pPr>
      <w:r>
        <w:rPr>
          <w:b/>
        </w:rPr>
        <w:t xml:space="preserve">[9] </w:t>
      </w:r>
      <w:r>
        <w:t>Hooda Y, Tanmoy AM, Sajib MSI, Saha S. Mass ciprofloxacin administration and emergence of XDR Salmonella Typhi in Pakistan. Lancet Infect Dis 2019;19:358-9.</w:t>
      </w:r>
    </w:p>
    <w:p>
      <w:pPr>
        <w:ind w:hanging="360" w:left="360"/>
      </w:pPr>
      <w:r>
        <w:rPr>
          <w:b/>
        </w:rPr>
        <w:t xml:space="preserve">[10] </w:t>
      </w:r>
      <w:r>
        <w:t>Fabrega A, Vila J. Salmonella enterica serovar Typhimurium skills to succeed in the host. Clin Microbiol Rev 2013;26:308-41.</w:t>
      </w:r>
    </w:p>
    <w:p>
      <w:pPr>
        <w:ind w:hanging="360" w:left="360"/>
      </w:pPr>
      <w:r>
        <w:rPr>
          <w:b/>
        </w:rPr>
        <w:t xml:space="preserve">[11] </w:t>
      </w:r>
      <w:r>
        <w:t>Steele-Mortimer O. The Salmonella-containing vacuole: moving with the times. Curr Opin Microbiol 2008;11:38-45.</w:t>
      </w:r>
    </w:p>
    <w:p>
      <w:pPr>
        <w:ind w:hanging="360" w:left="360"/>
      </w:pPr>
      <w:r>
        <w:rPr>
          <w:b/>
        </w:rPr>
        <w:t xml:space="preserve">[12] </w:t>
      </w:r>
      <w:r>
        <w:t>Figueira R, Holden DW. Functions of the Salmonella pathogenicity island 2 type III secretion system effectors. Microbiology 2012;158:1147-61.</w:t>
      </w:r>
    </w:p>
    <w:p>
      <w:pPr>
        <w:ind w:hanging="360" w:left="360"/>
      </w:pPr>
      <w:r>
        <w:rPr>
          <w:b/>
        </w:rPr>
        <w:t xml:space="preserve">[13] </w:t>
      </w:r>
      <w:r>
        <w:t>Gunn JS, Marshall JM, Baker S, Dongol S, Charles RC, Ryan ET. Salmonella chronic carriage: epidemiology, diagnosis, and gallbladder persistence. Trends Microbiol 2014;22:648-55.</w:t>
      </w:r>
    </w:p>
    <w:p>
      <w:pPr>
        <w:ind w:hanging="360" w:left="360"/>
      </w:pPr>
      <w:r>
        <w:rPr>
          <w:b/>
        </w:rPr>
        <w:t xml:space="preserve">[14] </w:t>
      </w:r>
      <w:r>
        <w:t>Kaufmann SHE, Dorhoi A, Hotchkiss RS, Bartenschlager R. Host-directed therapies for bacterial and viral infections. Nat Rev Drug Discov 2018;17:35-56.</w:t>
      </w:r>
    </w:p>
    <w:p>
      <w:pPr>
        <w:ind w:hanging="360" w:left="360"/>
      </w:pPr>
      <w:r>
        <w:rPr>
          <w:b/>
        </w:rPr>
        <w:t xml:space="preserve">[15] </w:t>
      </w:r>
      <w:r>
        <w:t>Wallis RS, Hafner R. Advancing host-directed therapy for tuberculosis. Nat Rev Immunol 2015;15:255-63.</w:t>
      </w:r>
    </w:p>
    <w:p>
      <w:pPr>
        <w:ind w:hanging="360" w:left="360"/>
      </w:pPr>
      <w:r>
        <w:rPr>
          <w:b/>
        </w:rPr>
        <w:t xml:space="preserve">[16] </w:t>
      </w:r>
      <w:r>
        <w:t>RECOVERY Collaborative Group. Tocilizumab in patients admitted to hospital with COVID-19. Lancet 2021;397:1637-45.</w:t>
      </w:r>
    </w:p>
    <w:p>
      <w:pPr>
        <w:ind w:hanging="360" w:left="360"/>
      </w:pPr>
      <w:r>
        <w:rPr>
          <w:b/>
        </w:rPr>
        <w:t xml:space="preserve">[17] </w:t>
      </w:r>
      <w:r>
        <w:t>Kalil AC, Patterson TF, Mehta AK, Tomashek KM, Wolfe CR, Ghazaryan V, et al. Baricitinib plus remdesivir for hospitalized adults with COVID-19. N Engl J Med 2021;384:795-807.</w:t>
      </w:r>
    </w:p>
    <w:p>
      <w:pPr>
        <w:ind w:hanging="360" w:left="360"/>
      </w:pPr>
      <w:r>
        <w:rPr>
          <w:b/>
        </w:rPr>
        <w:t xml:space="preserve">[18] </w:t>
      </w:r>
      <w:r>
        <w:t>Deretic V, Saitoh T, Akira S. Autophagy in infection, inflammation and immunity. Nat Rev Immunol 2013;13:722-37.</w:t>
      </w:r>
    </w:p>
    <w:p>
      <w:pPr>
        <w:ind w:hanging="360" w:left="360"/>
      </w:pPr>
      <w:r>
        <w:rPr>
          <w:b/>
        </w:rPr>
        <w:t xml:space="preserve">[19] </w:t>
      </w:r>
      <w:r>
        <w:t>Drakesmith H, Prentice AM. Hepcidin and the iron-infection axis. Science 2012;338:768-72.</w:t>
      </w:r>
    </w:p>
    <w:p>
      <w:pPr>
        <w:ind w:hanging="360" w:left="360"/>
      </w:pPr>
      <w:r>
        <w:rPr>
          <w:b/>
        </w:rPr>
        <w:t xml:space="preserve">[20] </w:t>
      </w:r>
      <w:r>
        <w:t>Wilkinson MD, Dumontier M, Aalbersberg IJ, Appleton G, Axton M, Baak A, et al. The FAIR Guiding Principles for scientific data management. Sci Data 2016;3:160018.</w:t>
      </w:r>
    </w:p>
    <w:p>
      <w:pPr>
        <w:ind w:hanging="360" w:left="360"/>
      </w:pPr>
      <w:r>
        <w:rPr>
          <w:b/>
        </w:rPr>
        <w:t xml:space="preserve">[21] </w:t>
      </w:r>
      <w:r>
        <w:t>Barrett T, Wilhite SE, Ledoux P, Evangelista C, Kim IF, Tomashevsky M, et al. NCBI GEO: archive for functional genomics data sets. Nucleic Acids Res 2013;41:D991-5.</w:t>
      </w:r>
    </w:p>
    <w:p>
      <w:pPr>
        <w:ind w:hanging="360" w:left="360"/>
      </w:pPr>
      <w:r>
        <w:rPr>
          <w:b/>
        </w:rPr>
        <w:t xml:space="preserve">[22] </w:t>
      </w:r>
      <w:r>
        <w:t>Thompson LJ, Dunstan SJ, Dolecek C, Perkins T, House D, Dougan G, et al. Transcriptional response in patients infected with Salmonella enterica serovar Typhi. Proc Natl Acad Sci USA 2009;106:22433-8.</w:t>
      </w:r>
    </w:p>
    <w:p>
      <w:pPr>
        <w:ind w:hanging="360" w:left="360"/>
      </w:pPr>
      <w:r>
        <w:rPr>
          <w:b/>
        </w:rPr>
        <w:t xml:space="preserve">[23] </w:t>
      </w:r>
      <w:r>
        <w:t>Eriksson S, Lucchini S, Thompson A, Rhen M, Hinton JC. Unravelling the biology of macrophage infection by gene expression profiling. Mol Microbiol 2003;47:103-18.</w:t>
      </w:r>
    </w:p>
    <w:p>
      <w:pPr>
        <w:ind w:hanging="360" w:left="360"/>
      </w:pPr>
      <w:r>
        <w:rPr>
          <w:b/>
        </w:rPr>
        <w:t xml:space="preserve">[24] </w:t>
      </w:r>
      <w:r>
        <w:t>Blohmke CJ, Darton TC, Jones C, Mayho M, Sheridan M, Sheridan J, et al. Interferon-driven alterations in tryptophan metabolism in typhoid fever. J Exp Med 2016;213:1061-77.</w:t>
      </w:r>
    </w:p>
    <w:p>
      <w:pPr>
        <w:ind w:hanging="360" w:left="360"/>
      </w:pPr>
      <w:r>
        <w:rPr>
          <w:b/>
        </w:rPr>
        <w:t xml:space="preserve">[25] </w:t>
      </w:r>
      <w:r>
        <w:t>Darton TC, Blohmke CJ, Moorthy VS, Altmann DM, Hayden FG, Clutterbuck EA, et al. Design and recruitment for human challenge studies. Lancet Infect Dis 2015;15:840-51.</w:t>
      </w:r>
    </w:p>
    <w:p>
      <w:pPr>
        <w:ind w:hanging="360" w:left="360"/>
      </w:pPr>
      <w:r>
        <w:rPr>
          <w:b/>
        </w:rPr>
        <w:t xml:space="preserve">[26] </w:t>
      </w:r>
      <w:r>
        <w:t>Birmingham CL, Smith AC, Bakowski MA, Yoshimori T, Bhatti MH, Brumell JH. Autophagy controls Salmonella infection in response to damage. J Biol Chem 2006;281:11374-83.</w:t>
      </w:r>
    </w:p>
    <w:p>
      <w:pPr>
        <w:ind w:hanging="360" w:left="360"/>
      </w:pPr>
      <w:r>
        <w:rPr>
          <w:b/>
        </w:rPr>
        <w:t xml:space="preserve">[27] </w:t>
      </w:r>
      <w:r>
        <w:t>Gomes LC, Dikic I. Autophagy in antimicrobial immunity. Mol Cell 2014;54:224-33.</w:t>
      </w:r>
    </w:p>
    <w:p>
      <w:pPr>
        <w:ind w:hanging="360" w:left="360"/>
      </w:pPr>
      <w:r>
        <w:rPr>
          <w:b/>
        </w:rPr>
        <w:t xml:space="preserve">[28] </w:t>
      </w:r>
      <w:r>
        <w:t>Zdrazil B, Felix E, Hunter F, Manber EJ, Denny J, Fradgley G, et al. The ChEMBL Database in 2023. Nucleic Acids Res 2024;52:D1180-92.</w:t>
      </w:r>
    </w:p>
    <w:p>
      <w:pPr>
        <w:ind w:hanging="360" w:left="360"/>
      </w:pPr>
      <w:r>
        <w:rPr>
          <w:b/>
        </w:rPr>
        <w:t xml:space="preserve">[29] </w:t>
      </w:r>
      <w:r>
        <w:t>Singhal A, Jie L, Kumar P, Hong GS, Leow MK, Paleja B, et al. Metformin as adjunct antituberculosis therapy. Sci Transl Med 2014;6:263ra159.</w:t>
      </w:r>
    </w:p>
    <w:p>
      <w:pPr>
        <w:ind w:hanging="360" w:left="360"/>
      </w:pPr>
      <w:r>
        <w:rPr>
          <w:b/>
        </w:rPr>
        <w:t xml:space="preserve">[30] </w:t>
      </w:r>
      <w:r>
        <w:t>Thompson MG, Corey BW, Si Y, Craft DW, Zurawski DV. Antibacterial activities of iron chelators against nosocomial pathogens. Antimicrob Agents Chemother 2012;56:5419-21.</w:t>
      </w:r>
    </w:p>
    <w:p>
      <w:pPr>
        <w:ind w:hanging="360" w:left="360"/>
      </w:pPr>
      <w:r>
        <w:rPr>
          <w:b/>
        </w:rPr>
        <w:t xml:space="preserve">[31] </w:t>
      </w:r>
      <w:r>
        <w:t>Nairz M, Schroll A, Sonnweber T, Weiss G. The struggle for iron at the host-pathogen interface. Cell Microbiol 2010;12:1691-702.</w:t>
      </w:r>
    </w:p>
    <w:p>
      <w:pPr>
        <w:ind w:hanging="360" w:left="360"/>
      </w:pPr>
      <w:r>
        <w:rPr>
          <w:b/>
        </w:rPr>
        <w:t xml:space="preserve">[32] </w:t>
      </w:r>
      <w:r>
        <w:t>Sehgal SN. Sirolimus: its discovery, biological properties, and mechanism of action. Transplant Proc 2003;35:7S-14S.</w:t>
      </w:r>
    </w:p>
    <w:p>
      <w:pPr>
        <w:ind w:hanging="360" w:left="360"/>
      </w:pPr>
      <w:r>
        <w:rPr>
          <w:b/>
        </w:rPr>
        <w:t xml:space="preserve">[33] </w:t>
      </w:r>
      <w:r>
        <w:t>Lachmandas E, Eckold C, Böhme J, Koeken VACM, Marzuki MB, Blok B, et al. Metformin alters human host responses to Mycobacterium tuberculosis. J Infect Dis 2019;220:139-50.</w:t>
      </w:r>
    </w:p>
    <w:p>
      <w:pPr>
        <w:ind w:hanging="360" w:left="360"/>
      </w:pPr>
      <w:r>
        <w:rPr>
          <w:b/>
        </w:rPr>
        <w:t xml:space="preserve">[34] </w:t>
      </w:r>
      <w:r>
        <w:t>Crawford RW, Rosales-Reyes R, Ramirez-Aguilar ML, Chapa-Azuela O, Alpuche-Aranda C, Gunn JS. Gallstones play a significant role in Salmonella gallbladder colonization. Proc Natl Acad Sci USA 2010;107:4353-8.</w:t>
      </w:r>
    </w:p>
    <w:p>
      <w:pPr>
        <w:ind w:hanging="360" w:left="360"/>
      </w:pPr>
      <w:r>
        <w:rPr>
          <w:b/>
        </w:rPr>
        <w:t xml:space="preserve">[35] </w:t>
      </w:r>
      <w:r>
        <w:t>Keitel V, Dröge C, Häussinger D. Targeting FXR in cholestasis. Handb Exp Pharmacol 2019;256:299-324.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