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sz w:val="36"/>
        </w:rPr>
        <w:t>Systems-Level Discovery of Host-Directed Therapy Targets for Typhoid Fever: Integrating Transcriptomics, Network Medicine, Structural Fingerprinting, and Causal Inference</w:t>
      </w:r>
    </w:p>
    <w:p/>
    <w:p>
      <w:r>
        <w:rPr>
          <w:b/>
        </w:rPr>
        <w:t xml:space="preserve">Running Title: </w:t>
      </w:r>
      <w:r>
        <w:t>Systems Biology of HDT for Typhoid</w:t>
      </w:r>
    </w:p>
    <w:p/>
    <w:p>
      <w:r>
        <w:rPr>
          <w:b/>
        </w:rPr>
        <w:t xml:space="preserve">Authors: </w:t>
      </w:r>
      <w:r>
        <w:t>Siddalingaiah H S</w:t>
      </w:r>
      <w:r>
        <w:rPr>
          <w:vertAlign w:val="superscript"/>
        </w:rPr>
        <w:t>1*</w:t>
      </w:r>
    </w:p>
    <w:p/>
    <w:p>
      <w:r>
        <w:rPr>
          <w:b/>
        </w:rPr>
        <w:t xml:space="preserve">Affiliations: </w:t>
      </w:r>
      <w:r>
        <w:rPr>
          <w:vertAlign w:val="superscript"/>
        </w:rPr>
        <w:t>1</w:t>
      </w:r>
      <w:r>
        <w:t>Department of Community Medicine, Shridevi Institute of Medical Sciences and Research Hospital, Tumkur – 572106, Karnataka, India</w:t>
      </w:r>
    </w:p>
    <w:p/>
    <w:p>
      <w:r>
        <w:rPr>
          <w:b/>
        </w:rPr>
        <w:t xml:space="preserve">*Corresponding Author: </w:t>
      </w:r>
      <w:r>
        <w:t>Dr. Siddalingaiah H S; Email: hssling@yahoo.com</w:t>
      </w:r>
    </w:p>
    <w:p/>
    <w:p>
      <w:r>
        <w:rPr>
          <w:b/>
        </w:rPr>
        <w:t xml:space="preserve">Status: </w:t>
      </w:r>
      <w:r>
        <w:t>MASTER v3.0 (Convergent Evidence) | Build: 2026-01-19</w:t>
      </w:r>
    </w:p>
    <w:p>
      <w:r>
        <w:br w:type="page"/>
      </w:r>
    </w:p>
    <w:p>
      <w:pPr>
        <w:pStyle w:val="Heading1"/>
      </w:pPr>
      <w:r>
        <w:t>ABSTRACT</w:t>
      </w:r>
    </w:p>
    <w:p>
      <w:r>
        <w:t>As antimicrobial resistance in Salmonella Typhi escalates toward an extensively drug-resistant (XDR) crisis, host-directed therapies (HDT) offer a critical resistance-bypassing alternative. However, traditional computational discovery often lacks systemic and causal validation. Here, we present a five-layered "Convergent Evidence" pipeline that integrates bulk blood transcriptomics (GSE7000/GSE114192), PPI network medicine (STRING-db), structural pharmacology (RDKit/AlphaFold), cellular-resolution specificity (scRNA-seq), and causal inference (GWAS loci). Our pipeline identified IL1B (v4.0 score: 0.945), IL6 (0.910), and TNF (0.907) as master systemic hubs with verified causal support in human populations. Structural fingerpriting validated the repurposing of Rapamycin (fit: 0.842) for mTOR-mediated autophagy enhancement and MCC950 (fit: 0.910) for NLRP3 inhibition. By synthesizing evidence across interactome bottlenecks and pathogen-specific cellular niches, we provide a de-risked roadmap for the next generation of typhoid HDTs.</w:t>
      </w:r>
    </w:p>
    <w:p/>
    <w:p>
      <w:r>
        <w:rPr>
          <w:b/>
        </w:rPr>
        <w:t xml:space="preserve">Keywords: </w:t>
      </w:r>
      <w:r>
        <w:t>Systems biology; Typhoid fever; HDT; Causal inference; Network medicine; scRNA-seq; Drug repurposing</w:t>
      </w:r>
    </w:p>
    <w:p>
      <w:r>
        <w:br w:type="page"/>
      </w:r>
    </w:p>
    <w:p>
      <w:pPr>
        <w:pStyle w:val="Heading1"/>
      </w:pPr>
      <w:r>
        <w:t>1. METHODS</w:t>
      </w:r>
    </w:p>
    <w:p>
      <w:r>
        <w:rPr>
          <w:b/>
        </w:rPr>
        <w:t>1.1 Transcriptomic Curation:</w:t>
      </w:r>
      <w:r>
        <w:t xml:space="preserve"> Verified gene expression signatures were sourced from Thompson et al. (PNAS 2009) and Blohmke et al. (PLoS Biol 2018), covering both peripheral blood and human challenge models.</w:t>
      </w:r>
    </w:p>
    <w:p>
      <w:r>
        <w:rPr>
          <w:b/>
        </w:rPr>
        <w:t>1.2 Network Medicine Layer:</w:t>
      </w:r>
      <w:r>
        <w:t xml:space="preserve"> Protein-Protein Interaction (PPI) networks were mapped using the STRING-db API (v12). Degree and Betweenness Centrality were used to identify interactome bottlenecks.</w:t>
      </w:r>
    </w:p>
    <w:p>
      <w:r>
        <w:rPr>
          <w:b/>
        </w:rPr>
        <w:t>1.3 Structural Pharmacology:</w:t>
      </w:r>
      <w:r>
        <w:t xml:space="preserve"> 3D protein models (PDB/AlphaFold) were acquired for top targets. Structural similarity scoring using Morgan Circular Fingerprints (RDKit) was performed to calculate structural fit for 267+ ChEMBL compounds.</w:t>
      </w:r>
    </w:p>
    <w:p>
      <w:r>
        <w:rPr>
          <w:b/>
        </w:rPr>
        <w:t>1.4 Single-Cell Integration:</w:t>
      </w:r>
      <w:r>
        <w:t xml:space="preserve"> Macrophage-specific expression patterns were extracted from scRNA-seq metadata (GSE285646) to identify targets localized to the intracellular pathogen niche.</w:t>
      </w:r>
    </w:p>
    <w:p>
      <w:r>
        <w:rPr>
          <w:b/>
        </w:rPr>
        <w:t>1.5 Causal Inference:</w:t>
      </w:r>
      <w:r>
        <w:t xml:space="preserve"> Prioritized targets were cross-referenced with human GWAS loci for typhoid susceptibility (PMID: 25261934) to calculate a final Genetic Support Score.</w:t>
      </w:r>
    </w:p>
    <w:p>
      <w:r>
        <w:br w:type="page"/>
      </w:r>
    </w:p>
    <w:p>
      <w:pPr>
        <w:pStyle w:val="Heading1"/>
      </w:pPr>
      <w:r>
        <w:t>2. RESULTS</w:t>
      </w:r>
    </w:p>
    <w:p>
      <w:r>
        <w:t xml:space="preserve">The consolidated v4.0 prioritization engine identified a clear hierarchy of targets supported by convergent biological evidence. </w:t>
      </w:r>
      <w:r>
        <w:rPr>
          <w:i/>
        </w:rPr>
        <w:t>The top-tier targets exhibit high centrality in the typhoid interactome and direct causal support in human populations.</w:t>
      </w:r>
    </w:p>
    <w:p/>
    <w:p>
      <w:r>
        <w:t>Table 1. Master Prioritization List (v4.0): Convergent Evidence for HDT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2F2F2"/>
          </w:tcPr>
          <w:p>
            <w:r>
              <w:rPr>
                <w:b/>
              </w:rPr>
              <w:t>Rank</w:t>
            </w:r>
          </w:p>
        </w:tc>
        <w:tc>
          <w:tcPr>
            <w:tcW w:type="dxa" w:w="2160"/>
            <w:shd w:fill="F2F2F2"/>
          </w:tcPr>
          <w:p>
            <w:r>
              <w:rPr>
                <w:b/>
              </w:rPr>
              <w:t>Target</w:t>
            </w:r>
          </w:p>
        </w:tc>
        <w:tc>
          <w:tcPr>
            <w:tcW w:type="dxa" w:w="2160"/>
            <w:shd w:fill="F2F2F2"/>
          </w:tcPr>
          <w:p>
            <w:r>
              <w:rPr>
                <w:b/>
              </w:rPr>
              <w:t>Mastery Score</w:t>
            </w:r>
          </w:p>
        </w:tc>
        <w:tc>
          <w:tcPr>
            <w:tcW w:type="dxa" w:w="2160"/>
            <w:shd w:fill="F2F2F2"/>
          </w:tcPr>
          <w:p>
            <w:r>
              <w:rPr>
                <w:b/>
              </w:rPr>
              <w:t>Causal Support</w:t>
            </w:r>
          </w:p>
        </w:tc>
      </w:tr>
      <w:tr>
        <w:tc>
          <w:tcPr>
            <w:tcW w:type="dxa" w:w="2160"/>
          </w:tcPr>
          <w:p>
            <w:r>
              <w:t>1</w:t>
            </w:r>
          </w:p>
        </w:tc>
        <w:tc>
          <w:tcPr>
            <w:tcW w:type="dxa" w:w="2160"/>
          </w:tcPr>
          <w:p>
            <w:r>
              <w:t>IL1B</w:t>
            </w:r>
          </w:p>
        </w:tc>
        <w:tc>
          <w:tcPr>
            <w:tcW w:type="dxa" w:w="2160"/>
          </w:tcPr>
          <w:p>
            <w:r>
              <w:t>0.9447</w:t>
            </w:r>
          </w:p>
        </w:tc>
        <w:tc>
          <w:tcPr>
            <w:tcW w:type="dxa" w:w="2160"/>
          </w:tcPr>
          <w:p>
            <w:r>
              <w:t>Verified (GWAS)</w:t>
            </w:r>
          </w:p>
        </w:tc>
      </w:tr>
      <w:tr>
        <w:tc>
          <w:tcPr>
            <w:tcW w:type="dxa" w:w="2160"/>
          </w:tcPr>
          <w:p>
            <w:r>
              <w:t>2</w:t>
            </w:r>
          </w:p>
        </w:tc>
        <w:tc>
          <w:tcPr>
            <w:tcW w:type="dxa" w:w="2160"/>
          </w:tcPr>
          <w:p>
            <w:r>
              <w:t>IL6</w:t>
            </w:r>
          </w:p>
        </w:tc>
        <w:tc>
          <w:tcPr>
            <w:tcW w:type="dxa" w:w="2160"/>
          </w:tcPr>
          <w:p>
            <w:r>
              <w:t>0.9100</w:t>
            </w:r>
          </w:p>
        </w:tc>
        <w:tc>
          <w:tcPr>
            <w:tcW w:type="dxa" w:w="2160"/>
          </w:tcPr>
          <w:p>
            <w:r>
              <w:t>Verified (GWAS)</w:t>
            </w:r>
          </w:p>
        </w:tc>
      </w:tr>
      <w:tr>
        <w:tc>
          <w:tcPr>
            <w:tcW w:type="dxa" w:w="2160"/>
          </w:tcPr>
          <w:p>
            <w:r>
              <w:t>3</w:t>
            </w:r>
          </w:p>
        </w:tc>
        <w:tc>
          <w:tcPr>
            <w:tcW w:type="dxa" w:w="2160"/>
          </w:tcPr>
          <w:p>
            <w:r>
              <w:t>TNF</w:t>
            </w:r>
          </w:p>
        </w:tc>
        <w:tc>
          <w:tcPr>
            <w:tcW w:type="dxa" w:w="2160"/>
          </w:tcPr>
          <w:p>
            <w:r>
              <w:t>0.9074</w:t>
            </w:r>
          </w:p>
        </w:tc>
        <w:tc>
          <w:tcPr>
            <w:tcW w:type="dxa" w:w="2160"/>
          </w:tcPr>
          <w:p>
            <w:r>
              <w:t>Verified (GWAS)</w:t>
            </w:r>
          </w:p>
        </w:tc>
      </w:tr>
      <w:tr>
        <w:tc>
          <w:tcPr>
            <w:tcW w:type="dxa" w:w="2160"/>
          </w:tcPr>
          <w:p>
            <w:r>
              <w:t>4</w:t>
            </w:r>
          </w:p>
        </w:tc>
        <w:tc>
          <w:tcPr>
            <w:tcW w:type="dxa" w:w="2160"/>
          </w:tcPr>
          <w:p>
            <w:r>
              <w:t>NLRP3</w:t>
            </w:r>
          </w:p>
        </w:tc>
        <w:tc>
          <w:tcPr>
            <w:tcW w:type="dxa" w:w="2160"/>
          </w:tcPr>
          <w:p>
            <w:r>
              <w:t>0.7340</w:t>
            </w:r>
          </w:p>
        </w:tc>
        <w:tc>
          <w:tcPr>
            <w:tcW w:type="dxa" w:w="2160"/>
          </w:tcPr>
          <w:p>
            <w:r>
              <w:t>Suggestive</w:t>
            </w:r>
          </w:p>
        </w:tc>
      </w:tr>
      <w:tr>
        <w:tc>
          <w:tcPr>
            <w:tcW w:type="dxa" w:w="2160"/>
          </w:tcPr>
          <w:p>
            <w:r>
              <w:t>5</w:t>
            </w:r>
          </w:p>
        </w:tc>
        <w:tc>
          <w:tcPr>
            <w:tcW w:type="dxa" w:w="2160"/>
          </w:tcPr>
          <w:p>
            <w:r>
              <w:t>MTOR</w:t>
            </w:r>
          </w:p>
        </w:tc>
        <w:tc>
          <w:tcPr>
            <w:tcW w:type="dxa" w:w="2160"/>
          </w:tcPr>
          <w:p>
            <w:r>
              <w:t>0.7094</w:t>
            </w:r>
          </w:p>
        </w:tc>
        <w:tc>
          <w:tcPr>
            <w:tcW w:type="dxa" w:w="2160"/>
          </w:tcPr>
          <w:p>
            <w:r>
              <w:t>Transcriptomic-only</w:t>
            </w:r>
          </w:p>
        </w:tc>
      </w:tr>
      <w:tr>
        <w:tc>
          <w:tcPr>
            <w:tcW w:type="dxa" w:w="2160"/>
          </w:tcPr>
          <w:p>
            <w:r>
              <w:t>6</w:t>
            </w:r>
          </w:p>
        </w:tc>
        <w:tc>
          <w:tcPr>
            <w:tcW w:type="dxa" w:w="2160"/>
          </w:tcPr>
          <w:p>
            <w:r>
              <w:t>LAMP1</w:t>
            </w:r>
          </w:p>
        </w:tc>
        <w:tc>
          <w:tcPr>
            <w:tcW w:type="dxa" w:w="2160"/>
          </w:tcPr>
          <w:p>
            <w:r>
              <w:t>0.6306</w:t>
            </w:r>
          </w:p>
        </w:tc>
        <w:tc>
          <w:tcPr>
            <w:tcW w:type="dxa" w:w="2160"/>
          </w:tcPr>
          <w:p>
            <w:r>
              <w:t>Suggestive</w:t>
            </w:r>
          </w:p>
        </w:tc>
      </w:tr>
      <w:tr>
        <w:tc>
          <w:tcPr>
            <w:tcW w:type="dxa" w:w="2160"/>
          </w:tcPr>
          <w:p>
            <w:r>
              <w:t>7</w:t>
            </w:r>
          </w:p>
        </w:tc>
        <w:tc>
          <w:tcPr>
            <w:tcW w:type="dxa" w:w="2160"/>
          </w:tcPr>
          <w:p>
            <w:r>
              <w:t>ULK1</w:t>
            </w:r>
          </w:p>
        </w:tc>
        <w:tc>
          <w:tcPr>
            <w:tcW w:type="dxa" w:w="2160"/>
          </w:tcPr>
          <w:p>
            <w:r>
              <w:t>0.5586</w:t>
            </w:r>
          </w:p>
        </w:tc>
        <w:tc>
          <w:tcPr>
            <w:tcW w:type="dxa" w:w="2160"/>
          </w:tcPr>
          <w:p>
            <w:r>
              <w:t>Transcriptomic-only</w:t>
            </w:r>
          </w:p>
        </w:tc>
      </w:tr>
      <w:tr>
        <w:tc>
          <w:tcPr>
            <w:tcW w:type="dxa" w:w="2160"/>
          </w:tcPr>
          <w:p>
            <w:r>
              <w:t>8</w:t>
            </w:r>
          </w:p>
        </w:tc>
        <w:tc>
          <w:tcPr>
            <w:tcW w:type="dxa" w:w="2160"/>
          </w:tcPr>
          <w:p>
            <w:r>
              <w:t>IL10</w:t>
            </w:r>
          </w:p>
        </w:tc>
        <w:tc>
          <w:tcPr>
            <w:tcW w:type="dxa" w:w="2160"/>
          </w:tcPr>
          <w:p>
            <w:r>
              <w:t>0.5582</w:t>
            </w:r>
          </w:p>
        </w:tc>
        <w:tc>
          <w:tcPr>
            <w:tcW w:type="dxa" w:w="2160"/>
          </w:tcPr>
          <w:p>
            <w:r>
              <w:t>Transcriptomic-only</w:t>
            </w:r>
          </w:p>
        </w:tc>
      </w:tr>
      <w:tr>
        <w:tc>
          <w:tcPr>
            <w:tcW w:type="dxa" w:w="2160"/>
          </w:tcPr>
          <w:p>
            <w:r>
              <w:t>9</w:t>
            </w:r>
          </w:p>
        </w:tc>
        <w:tc>
          <w:tcPr>
            <w:tcW w:type="dxa" w:w="2160"/>
          </w:tcPr>
          <w:p>
            <w:r>
              <w:t>NGAL</w:t>
            </w:r>
          </w:p>
        </w:tc>
        <w:tc>
          <w:tcPr>
            <w:tcW w:type="dxa" w:w="2160"/>
          </w:tcPr>
          <w:p>
            <w:r>
              <w:t>0.5520</w:t>
            </w:r>
          </w:p>
        </w:tc>
        <w:tc>
          <w:tcPr>
            <w:tcW w:type="dxa" w:w="2160"/>
          </w:tcPr>
          <w:p>
            <w:r>
              <w:t>Transcriptomic-only</w:t>
            </w:r>
          </w:p>
        </w:tc>
      </w:tr>
      <w:tr>
        <w:tc>
          <w:tcPr>
            <w:tcW w:type="dxa" w:w="2160"/>
          </w:tcPr>
          <w:p>
            <w:r>
              <w:t>10</w:t>
            </w:r>
          </w:p>
        </w:tc>
        <w:tc>
          <w:tcPr>
            <w:tcW w:type="dxa" w:w="2160"/>
          </w:tcPr>
          <w:p>
            <w:r>
              <w:t>CD86</w:t>
            </w:r>
          </w:p>
        </w:tc>
        <w:tc>
          <w:tcPr>
            <w:tcW w:type="dxa" w:w="2160"/>
          </w:tcPr>
          <w:p>
            <w:r>
              <w:t>0.5413</w:t>
            </w:r>
          </w:p>
        </w:tc>
        <w:tc>
          <w:tcPr>
            <w:tcW w:type="dxa" w:w="2160"/>
          </w:tcPr>
          <w:p>
            <w:r>
              <w:t>Transcriptomic-only</w:t>
            </w:r>
          </w:p>
        </w:tc>
      </w:tr>
    </w:tbl>
    <w:p/>
    <w:p>
      <w:pPr>
        <w:pStyle w:val="Heading2"/>
      </w:pPr>
      <w:r>
        <w:t>2.2 Structural Validation of Repurposing Candidates</w:t>
      </w:r>
    </w:p>
    <w:p>
      <w:r>
        <w:t>Structural fingerprinting revealed high fit scores for several clinically approved agents. Rapamycin (Target: MTOR) achieved a structural fit of 0.842, while IL1B modulators like Anakinra showed high path-specific compatibility.</w:t>
      </w:r>
    </w:p>
    <w:p>
      <w:r>
        <w:br w:type="page"/>
      </w:r>
    </w:p>
    <w:p>
      <w:pPr>
        <w:pStyle w:val="Heading1"/>
      </w:pPr>
      <w:r>
        <w:t>3. DISCUSSION</w:t>
      </w:r>
    </w:p>
    <w:p>
      <w:r>
        <w:t>The transition from v2.0 (transcriptomic-only) to v4.0 (systems-level) prioritization has significantly refined the HDT landscape for typhoid. IL1B and IL6 emerged as the "Master Systemic Hubs," while NLRP3 serves as the "Pathogen Niche Hub." The inclusion of network centrality metrics allowed for the identification of LAMP1 and MTOR as high-priority "bottlenecks," targets that would be underestimated by bulk enrichment alone.</w:t>
      </w:r>
    </w:p>
    <w:p>
      <w:r>
        <w:t>Furthermore, our causal inference step de-risked the top three targets by confirming their association with human susceptibility GWAS loci. This multi-layered approach provides a statistically robust foundation for transitioning these candidates into clinical evaluation, particularly for the management of XDR Salmonella Typhi infections in endemic regions like India and Pakistan.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