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December 31, 2024</w:t>
      </w:r>
    </w:p>
    <w:p/>
    <w:p>
      <w:r>
        <w:t>To,</w:t>
      </w:r>
    </w:p>
    <w:p>
      <w:r>
        <w:t>The Editor-in-Chief</w:t>
      </w:r>
    </w:p>
    <w:p>
      <w:r>
        <w:t>Indian Journal of Medical Microbiology</w:t>
      </w:r>
    </w:p>
    <w:p>
      <w:r>
        <w:t>Publication of the Indian Association of Medical Microbiologists</w:t>
      </w:r>
    </w:p>
    <w:p/>
    <w:p>
      <w:r>
        <w:rPr>
          <w:b/>
        </w:rPr>
        <w:t xml:space="preserve">Subject: </w:t>
      </w:r>
      <w:r>
        <w:t>Submission of Original Research Manuscript</w:t>
      </w:r>
    </w:p>
    <w:p/>
    <w:p>
      <w:r>
        <w:t>Dear Editor,</w:t>
      </w:r>
    </w:p>
    <w:p/>
    <w:p>
      <w:r>
        <w:t xml:space="preserve">We submit our manuscript entitled </w:t>
      </w:r>
      <w:r>
        <w:rPr>
          <w:i/>
        </w:rPr>
        <w:t>Host-Directed Therapy Targets in Typhoid Fever: An Integrated Multi-omics Pipeline for Addressing Multidrug-Resistant Salmonella Typhi Through Autophagy Enhancement and Macrophage Reprogramming</w:t>
      </w:r>
      <w:r>
        <w:t xml:space="preserve"> for publication in IJMM.</w:t>
      </w:r>
    </w:p>
    <w:p/>
    <w:p>
      <w:r>
        <w:rPr>
          <w:b/>
        </w:rPr>
        <w:t>SUMMARY</w:t>
      </w:r>
    </w:p>
    <w:p>
      <w:r>
        <w:t>Typhoid fever causes 14 million cases and 135,000 deaths annually. India carries 60% of the global burden. The emergence of XDR S. Typhi resistant to first-line agents, fluoroquinolones, AND ceftriaxone represents a critical crisis with only azithromycin remaining.</w:t>
      </w:r>
    </w:p>
    <w:p/>
    <w:p>
      <w:r>
        <w:rPr>
          <w:b/>
        </w:rPr>
        <w:t>KEY INNOVATION</w:t>
      </w:r>
    </w:p>
    <w:p>
      <w:r>
        <w:t>Host-directed therapy BYPASSES bacterial resistance by targeting host macrophage autophagy—bacteria cannot develop resistance to being degraded by host machinery.</w:t>
      </w:r>
    </w:p>
    <w:p/>
    <w:p>
      <w:r>
        <w:rPr>
          <w:b/>
        </w:rPr>
        <w:t>PRIORITY CANDIDATES</w:t>
      </w:r>
    </w:p>
    <w:p>
      <w:r>
        <w:t>- Rapamycin/Everolimus: mTOR inhibition, autophagy enhancement</w:t>
      </w:r>
    </w:p>
    <w:p>
      <w:r>
        <w:t>- Metformin: AMPK activation, low cost, widely available</w:t>
      </w:r>
    </w:p>
    <w:p>
      <w:r>
        <w:t>- Deferasirox: Iron chelation, nutrient deprivation</w:t>
      </w:r>
    </w:p>
    <w:p/>
    <w:p>
      <w:r>
        <w:rPr>
          <w:b/>
        </w:rPr>
        <w:t>DECLARATIONS</w:t>
      </w:r>
    </w:p>
    <w:p>
      <w:r>
        <w:t>- Original work, not under consideration elsewhere</w:t>
      </w:r>
    </w:p>
    <w:p>
      <w:r>
        <w:t>- Computational study, no ethics approval required</w:t>
      </w:r>
    </w:p>
    <w:p>
      <w:r>
        <w:t>- No conflicts of interest</w:t>
      </w:r>
    </w:p>
    <w:p/>
    <w:p>
      <w:r>
        <w:t>This work addresses a critical AMR challenge highly relevant to Indian medical microbiology.</w:t>
      </w:r>
    </w:p>
    <w:p/>
    <w:p>
      <w:r>
        <w:t>Respectfully submitted,</w:t>
      </w:r>
    </w:p>
    <w:p/>
    <w:p>
      <w:r>
        <w:rPr>
          <w:b/>
        </w:rPr>
        <w:t>Dr. Siddalingaiah H S</w:t>
      </w:r>
    </w:p>
    <w:p>
      <w:r>
        <w:t>Professor, Community Medicine</w:t>
      </w:r>
    </w:p>
    <w:p>
      <w:r>
        <w:t>SIMS Tumkur, Karnataka</w:t>
      </w:r>
    </w:p>
    <w:p>
      <w:r>
        <w:t>Email: hssling@yahoo.com</w:t>
      </w:r>
    </w:p>
    <w:p>
      <w:r>
        <w:t>ORCID: 0000-0002-4771-8285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