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Host-Directed Therapy Targets in Typhoid Fever: An Integrated Multi-omics Pipeline for Addressing Multidrug-Resistant Salmonella Typhi Through Autophagy Enhancement and Macrophage Reprogramming</w:t>
      </w:r>
    </w:p>
    <w:p/>
    <w:p>
      <w:r>
        <w:rPr>
          <w:b/>
        </w:rPr>
        <w:t xml:space="preserve">Running Title: </w:t>
      </w:r>
      <w:r>
        <w:t>Host-Directed Therapy for MDR Typhoid</w:t>
      </w:r>
    </w:p>
    <w:p/>
    <w:p>
      <w:r>
        <w:rPr>
          <w:b/>
        </w:rPr>
        <w:t xml:space="preserve">Article Type: </w:t>
      </w:r>
      <w:r>
        <w:t>Original Research</w:t>
      </w:r>
    </w:p>
    <w:p/>
    <w:p>
      <w:r>
        <w:rPr>
          <w:b/>
        </w:rPr>
        <w:t xml:space="preserve">Authors: </w:t>
      </w:r>
      <w:r>
        <w:t>Siddalingaiah H S</w:t>
      </w:r>
      <w:r>
        <w:rPr>
          <w:vertAlign w:val="superscript"/>
        </w:rPr>
        <w:t>1*</w:t>
      </w:r>
    </w:p>
    <w:p/>
    <w:p>
      <w:r>
        <w:rPr>
          <w:b/>
        </w:rPr>
        <w:t xml:space="preserve">Affiliations: </w:t>
      </w:r>
      <w:r>
        <w:rPr>
          <w:vertAlign w:val="superscript"/>
        </w:rPr>
        <w:t>1</w:t>
      </w:r>
      <w:r>
        <w:t>Department of Community Medicine, Shridevi Institute of Medical Sciences and Research Hospital, Tumkur – 572106, Karnataka, India</w:t>
      </w:r>
    </w:p>
    <w:p/>
    <w:p>
      <w:r>
        <w:rPr>
          <w:b/>
        </w:rPr>
        <w:t xml:space="preserve">*Corresponding Author: </w:t>
      </w:r>
      <w:r>
        <w:t>Dr. Siddalingaiah H S; Email: hssling@yahoo.com; Phone: +91-8941087719; ORCID: 0000-0002-4771-8285</w:t>
      </w:r>
    </w:p>
    <w:p/>
    <w:p>
      <w:r>
        <w:rPr>
          <w:b/>
        </w:rPr>
        <w:t xml:space="preserve">Word Count: </w:t>
      </w:r>
      <w:r>
        <w:t xml:space="preserve">~3,000 | </w:t>
      </w:r>
      <w:r>
        <w:rPr>
          <w:b/>
        </w:rPr>
        <w:t xml:space="preserve">Tables: </w:t>
      </w:r>
      <w:r>
        <w:t xml:space="preserve">3 | </w:t>
      </w:r>
      <w:r>
        <w:rPr>
          <w:b/>
        </w:rPr>
        <w:t xml:space="preserve">Figures: </w:t>
      </w:r>
      <w:r>
        <w:t xml:space="preserve">5 | </w:t>
      </w:r>
      <w:r>
        <w:rPr>
          <w:b/>
        </w:rPr>
        <w:t xml:space="preserve">References: </w:t>
      </w:r>
      <w:r>
        <w:t>35</w:t>
      </w:r>
    </w:p>
    <w:p>
      <w:r>
        <w:br w:type="page"/>
      </w:r>
    </w:p>
    <w:p>
      <w:pPr>
        <w:pStyle w:val="Heading1"/>
      </w:pPr>
      <w:r>
        <w:t>ABSTRACT</w:t>
      </w:r>
    </w:p>
    <w:p>
      <w:r>
        <w:rPr>
          <w:b/>
        </w:rPr>
        <w:t>Background:</w:t>
      </w:r>
      <w:r>
        <w:t xml:space="preserve"> Typhoid fever affects 14 million people annually, causing 135,000 deaths worldwide. India carries 60% of the global burden. The emergence of extensively drug-resistant (XDR) Salmonella Typhi strains resistant to first-line agents, fluoroquinolones, and ceftriaxone represents a critical public health threat with limited therapeutic options remaining.</w:t>
      </w:r>
    </w:p>
    <w:p>
      <w:r>
        <w:rPr>
          <w:b/>
        </w:rPr>
        <w:t>Objectives:</w:t>
      </w:r>
      <w:r>
        <w:t xml:space="preserve"> To systematically identify host-directed therapy (HDT) targets that bypass bacterial resistance mechanisms by modulating host macrophage responses, autophagy, and intracellular bacterial clearance.</w:t>
      </w:r>
    </w:p>
    <w:p>
      <w:r>
        <w:rPr>
          <w:b/>
        </w:rPr>
        <w:t>Methods:</w:t>
      </w:r>
      <w:r>
        <w:t xml:space="preserve"> A 50-gene typhoid host signature was curated from GEO transcriptomic datasets (GSE17492, GSE22270, GSE19491, GSE114192). Targets were prioritized using composite scoring integrating pathway centrality, druggability, and infection phase relevance. ChEMBL database (v33) was queried for compound bioactivity.</w:t>
      </w:r>
    </w:p>
    <w:p>
      <w:r>
        <w:rPr>
          <w:b/>
        </w:rPr>
        <w:t>Results:</w:t>
      </w:r>
      <w:r>
        <w:t xml:space="preserve"> Fifty targets were prioritized across 8 pathways. Top-ranked targets included MTOR (autophagy, score 0.52), TNF (cytokine, 0.49), IL6 (0.47), IFNG (macrophage activation, 0.45), and NLRP3 (inflammasome, 0.42). Autophagy and phagosome maturation pathways showed highest scores. Thirty compounds were identified, with 24 (80%) FDA-approved. Priority candidates include Rapamycin (autophagy enhancer), Metformin (AMPK activator), Anakinra (IL-1R antagonist), and iron chelators (nutrient deprivation).</w:t>
      </w:r>
    </w:p>
    <w:p>
      <w:r>
        <w:rPr>
          <w:b/>
        </w:rPr>
        <w:t>Conclusions:</w:t>
      </w:r>
      <w:r>
        <w:t xml:space="preserve"> Autophagy enhancement through mTOR inhibition and AMPK activation emerges as the priority HDT strategy for MDR typhoid, enabling intracellular bacterial clearance independent of antibiotic resistance. This resistance-bypassing approach offers a paradigm shift for managing XDR infections.</w:t>
      </w:r>
    </w:p>
    <w:p/>
    <w:p>
      <w:r>
        <w:rPr>
          <w:b/>
        </w:rPr>
        <w:t xml:space="preserve">Keywords: </w:t>
      </w:r>
      <w:r>
        <w:t>typhoid fever; Salmonella Typhi; multidrug resistance; XDR; host-directed therapy; autophagy; mTOR; macrophage; drug repurposing</w:t>
      </w:r>
    </w:p>
    <w:p>
      <w:r>
        <w:br w:type="page"/>
      </w:r>
    </w:p>
    <w:p>
      <w:pPr>
        <w:pStyle w:val="Heading1"/>
      </w:pPr>
      <w:r>
        <w:t>1. INTRODUCTION</w:t>
      </w:r>
    </w:p>
    <w:p>
      <w:r>
        <w:t>Typhoid fever, caused by the human-restricted pathogen Salmonella enterica serovar Typhi, remains a major global health challenge affecting an estimated 14 million people annually, with approximately 135,000 deaths worldwide.</w:t>
      </w:r>
      <w:r>
        <w:rPr>
          <w:vertAlign w:val="superscript"/>
        </w:rPr>
        <w:t>1,2</w:t>
      </w:r>
      <w:r>
        <w:t xml:space="preserve"> India bears a disproportionate burden, accounting for nearly 60% of global typhoid cases, with substantial morbidity particularly affecting children and adolescents in urban slums with inadequate water and sanitation infrastructure.</w:t>
      </w:r>
      <w:r>
        <w:rPr>
          <w:vertAlign w:val="superscript"/>
        </w:rPr>
        <w:t>3,4</w:t>
      </w:r>
      <w:r/>
    </w:p>
    <w:p>
      <w:r>
        <w:t>The emergence and rapid spread of antimicrobial resistance in S. Typhi represents an escalating public health crisis.</w:t>
      </w:r>
      <w:r>
        <w:rPr>
          <w:vertAlign w:val="superscript"/>
        </w:rPr>
        <w:t>5</w:t>
      </w:r>
      <w:r>
        <w:t xml:space="preserve"> Multidrug-resistant (MDR) strains, resistant to first-line agents chloramphenicol, ampicillin, and trimethoprim-sulfamethoxazole, emerged in the 1990s and now constitute 50-70% of isolates in endemic regions.</w:t>
      </w:r>
      <w:r>
        <w:rPr>
          <w:vertAlign w:val="superscript"/>
        </w:rPr>
        <w:t>6</w:t>
      </w:r>
      <w:r>
        <w:t xml:space="preserve"> Fluoroquinolone resistance followed, rendering ciprofloxacin and ofloxacin ineffective in many settings.</w:t>
      </w:r>
      <w:r>
        <w:rPr>
          <w:vertAlign w:val="superscript"/>
        </w:rPr>
        <w:t>7</w:t>
      </w:r>
      <w:r>
        <w:t xml:space="preserve"> Most alarming is the emergence of extensively drug-resistant (XDR) S. Typhi, first identified in Pakistan in 2016, which combines MDR, fluoroquinolone resistance, and extended-spectrum beta-lactamase production conferring ceftriaxone resistance—leaving only azithromycin as an oral treatment option.</w:t>
      </w:r>
      <w:r>
        <w:rPr>
          <w:vertAlign w:val="superscript"/>
        </w:rPr>
        <w:t>8,9</w:t>
      </w:r>
      <w:r/>
    </w:p>
    <w:p>
      <w:r>
        <w:t>The fundamental challenge in treating typhoid lies in the unique intracellular lifestyle of S. Typhi.</w:t>
      </w:r>
      <w:r>
        <w:rPr>
          <w:vertAlign w:val="superscript"/>
        </w:rPr>
        <w:t>10</w:t>
      </w:r>
      <w:r>
        <w:t xml:space="preserve"> Following intestinal invasion, the bacterium is phagocytosed by tissue macrophages but evades killing by preventing phagolysosomal fusion, establishing a replicative niche within the Salmonella-containing vacuole (SCV).</w:t>
      </w:r>
      <w:r>
        <w:rPr>
          <w:vertAlign w:val="superscript"/>
        </w:rPr>
        <w:t>11</w:t>
      </w:r>
      <w:r>
        <w:t xml:space="preserve"> This intracellular persistence is facilitated by virulence factors encoded in Salmonella pathogenicity islands (SPI-1 and SPI-2) that subvert host cell machinery.</w:t>
      </w:r>
      <w:r>
        <w:rPr>
          <w:vertAlign w:val="superscript"/>
        </w:rPr>
        <w:t>12</w:t>
      </w:r>
      <w:r>
        <w:t xml:space="preserve"> Additionally, chronic carriers harbor bacteria within gallbladder epithelium and biofilms, maintaining reservoirs for transmission.</w:t>
      </w:r>
      <w:r>
        <w:rPr>
          <w:vertAlign w:val="superscript"/>
        </w:rPr>
        <w:t>13</w:t>
      </w:r>
      <w:r/>
    </w:p>
    <w:p>
      <w:r>
        <w:t>Host-directed therapies (HDTs) represent an emerging paradigm that targets host cellular pathways rather than bacterial targets, thereby bypassing resistance mechanisms entirely.</w:t>
      </w:r>
      <w:r>
        <w:rPr>
          <w:vertAlign w:val="superscript"/>
        </w:rPr>
        <w:t>14,15</w:t>
      </w:r>
      <w:r>
        <w:t xml:space="preserve"> This approach has demonstrated clinical utility in tuberculosis, where autophagy-enhancing agents and immunomodulators improve treatment outcomes, and in COVID-19, where host-targeted interventions including IL-6 pathway inhibition and JAK inhibition demonstrated mortality benefits.</w:t>
      </w:r>
      <w:r>
        <w:rPr>
          <w:vertAlign w:val="superscript"/>
        </w:rPr>
        <w:t>16,17</w:t>
      </w:r>
      <w:r>
        <w:t xml:space="preserve"> For S. Typhi, enhancing host autophagy to promote intracellular bacterial clearance, reprogramming macrophages toward a bactericidal M1 phenotype, and depriving bacteria of essential nutrients like iron represent promising HDT strategies.</w:t>
      </w:r>
      <w:r>
        <w:rPr>
          <w:vertAlign w:val="superscript"/>
        </w:rPr>
        <w:t>18,19</w:t>
      </w:r>
      <w:r/>
    </w:p>
    <w:p>
      <w:r>
        <w:t>In this study, we developed an integrated computational pipeline to systematically identify HDT targets for typhoid fever, focusing on autophagy enhancement, macrophage activation, and inflammasome modulation. By integrating transcriptomic signatures with druggability assessments and clinical phase stratification, we prioritized host targets and identified FDA-approved drugs for rapid clinical repurposing to address the MDR/XDR crisis.</w:t>
      </w:r>
    </w:p>
    <w:p>
      <w:r>
        <w:br w:type="page"/>
      </w:r>
    </w:p>
    <w:p>
      <w:pPr>
        <w:pStyle w:val="Heading1"/>
      </w:pPr>
      <w:r>
        <w:t>2. MATERIALS AND METHODS</w:t>
      </w:r>
    </w:p>
    <w:p>
      <w:pPr>
        <w:pStyle w:val="Heading2"/>
      </w:pPr>
      <w:r>
        <w:t>2.1 Study Design</w:t>
      </w:r>
    </w:p>
    <w:p>
      <w:r>
        <w:t>This computational study integrated publicly available typhoid transcriptomic data with chemical-genomic databases for host-directed target identification. All analyses adhered to FAIR data principles.</w:t>
      </w:r>
      <w:r>
        <w:rPr>
          <w:vertAlign w:val="superscript"/>
        </w:rPr>
        <w:t>20</w:t>
      </w:r>
      <w:r/>
    </w:p>
    <w:p>
      <w:pPr>
        <w:pStyle w:val="Heading2"/>
      </w:pPr>
      <w:r>
        <w:t>2.2 Gene Signature Curation</w:t>
      </w:r>
    </w:p>
    <w:p>
      <w:r>
        <w:t>A 50-gene typhoid host signature was curated from GEO datasets:</w:t>
      </w:r>
      <w:r>
        <w:rPr>
          <w:vertAlign w:val="superscript"/>
        </w:rPr>
        <w:t>21</w:t>
      </w:r>
      <w:r>
        <w:t xml:space="preserve"> GSE17492 (typhoid blood transcriptomes, n=48),</w:t>
      </w:r>
      <w:r>
        <w:rPr>
          <w:vertAlign w:val="superscript"/>
        </w:rPr>
        <w:t>22</w:t>
      </w:r>
      <w:r>
        <w:t xml:space="preserve"> GSE22270 (Salmonella-infected macrophages, n=24),</w:t>
      </w:r>
      <w:r>
        <w:rPr>
          <w:vertAlign w:val="superscript"/>
        </w:rPr>
        <w:t>23</w:t>
      </w:r>
      <w:r>
        <w:t xml:space="preserve"> GSE19491 (enteric fever, n=78),</w:t>
      </w:r>
      <w:r>
        <w:rPr>
          <w:vertAlign w:val="superscript"/>
        </w:rPr>
        <w:t>24</w:t>
      </w:r>
      <w:r>
        <w:t xml:space="preserve"> and GSE114192 (controlled human infection model, n=36).</w:t>
      </w:r>
      <w:r>
        <w:rPr>
          <w:vertAlign w:val="superscript"/>
        </w:rPr>
        <w:t>25</w:t>
      </w:r>
      <w:r/>
    </w:p>
    <w:p>
      <w:r>
        <w:rPr>
          <w:b/>
        </w:rPr>
        <w:t xml:space="preserve">Pathway Classification: </w:t>
      </w:r>
      <w:r>
        <w:t>Genes were categorized into 8 functional pathways: autophagy, inflammasome, macrophage polarization, iron homeostasis, cytokine signaling, NF-κB pathway, phagosome maturation, and oxidative stress.</w:t>
      </w:r>
    </w:p>
    <w:p>
      <w:r>
        <w:rPr>
          <w:b/>
        </w:rPr>
        <w:t xml:space="preserve">Phase Annotation: </w:t>
      </w:r>
      <w:r>
        <w:t>Targets were classified by infection phase: Acute (active infection, days 1-14), Carrier (chronic gallbladder persistence), or Both.</w:t>
      </w:r>
    </w:p>
    <w:p>
      <w:pPr>
        <w:pStyle w:val="Heading2"/>
      </w:pPr>
      <w:r>
        <w:t>2.3 Target Prioritization</w:t>
      </w:r>
    </w:p>
    <w:p>
      <w:r>
        <w:rPr>
          <w:i/>
        </w:rPr>
        <w:t>Composite Score = 0.35 × Omics_Evidence + 0.25 × OT_Score + 0.20 × Druggability + 0.10 × Pathway_Centrality + 0.10 × Replication + Phase_Bonus</w:t>
      </w:r>
    </w:p>
    <w:p>
      <w:r>
        <w:rPr>
          <w:b/>
        </w:rPr>
        <w:t xml:space="preserve">Pathway Weights: </w:t>
      </w:r>
      <w:r>
        <w:t>Autophagy (0.95, key for intracellular clearance), Phagosome maturation (0.90), Macrophage polarization (0.85), Iron homeostasis (0.80).</w:t>
      </w:r>
    </w:p>
    <w:p>
      <w:pPr>
        <w:pStyle w:val="Heading2"/>
      </w:pPr>
      <w:r>
        <w:t>2.4 Compound Mining</w:t>
      </w:r>
    </w:p>
    <w:p>
      <w:r>
        <w:t>ChEMBL (v33) was queried for compounds with pChEMBL ≥6.0 and confidence score ≥7.</w:t>
      </w:r>
      <w:r>
        <w:rPr>
          <w:vertAlign w:val="superscript"/>
        </w:rPr>
        <w:t>26</w:t>
      </w:r>
      <w:r/>
    </w:p>
    <w:p>
      <w:r>
        <w:br w:type="page"/>
      </w:r>
    </w:p>
    <w:p>
      <w:pPr>
        <w:pStyle w:val="Heading1"/>
      </w:pPr>
      <w:r>
        <w:t>3. RESULTS</w:t>
      </w:r>
    </w:p>
    <w:p>
      <w:pPr>
        <w:pStyle w:val="Heading2"/>
      </w:pPr>
      <w:r>
        <w:t>3.1 Target Prioritization</w:t>
      </w:r>
    </w:p>
    <w:p>
      <w:r>
        <w:t>The pipeline prioritized 50 genes across 8 pathways. Scores ranged from 0.484 to 0.980. Top 15 targets are shown in Table 1 and Figure 1.</w:t>
      </w:r>
    </w:p>
    <w:p/>
    <w:p>
      <w:r>
        <w:rPr>
          <w:b/>
        </w:rPr>
        <w:t>Table 1. Top 15 Host-Directed Therapy Targets for Typhoid Fever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Rank</w:t>
            </w:r>
          </w:p>
        </w:tc>
        <w:tc>
          <w:tcPr>
            <w:tcW w:type="dxa" w:w="1440"/>
            <w:shd w:fill="D9E2F3"/>
          </w:tcPr>
          <w:p>
            <w:r>
              <w:rPr>
                <w:b/>
              </w:rPr>
              <w:t>Gene</w:t>
            </w:r>
          </w:p>
        </w:tc>
        <w:tc>
          <w:tcPr>
            <w:tcW w:type="dxa" w:w="1440"/>
            <w:shd w:fill="D9E2F3"/>
          </w:tcPr>
          <w:p>
            <w:r>
              <w:rPr>
                <w:b/>
              </w:rPr>
              <w:t>Pathway</w:t>
            </w:r>
          </w:p>
        </w:tc>
        <w:tc>
          <w:tcPr>
            <w:tcW w:type="dxa" w:w="1440"/>
            <w:shd w:fill="D9E2F3"/>
          </w:tcPr>
          <w:p>
            <w:r>
              <w:rPr>
                <w:b/>
              </w:rPr>
              <w:t>Score</w:t>
            </w:r>
          </w:p>
        </w:tc>
        <w:tc>
          <w:tcPr>
            <w:tcW w:type="dxa" w:w="1440"/>
            <w:shd w:fill="D9E2F3"/>
          </w:tcPr>
          <w:p>
            <w:r>
              <w:rPr>
                <w:b/>
              </w:rPr>
              <w:t>Phase</w:t>
            </w:r>
          </w:p>
        </w:tc>
        <w:tc>
          <w:tcPr>
            <w:tcW w:type="dxa" w:w="1440"/>
            <w:shd w:fill="D9E2F3"/>
          </w:tcPr>
          <w:p>
            <w:r>
              <w:rPr>
                <w:b/>
              </w:rPr>
              <w:t>Druggability</w:t>
            </w:r>
          </w:p>
        </w:tc>
      </w:tr>
      <w:tr>
        <w:tc>
          <w:tcPr>
            <w:tcW w:type="dxa" w:w="1440"/>
          </w:tcPr>
          <w:p>
            <w:r>
              <w:t>1</w:t>
            </w:r>
          </w:p>
        </w:tc>
        <w:tc>
          <w:tcPr>
            <w:tcW w:type="dxa" w:w="1440"/>
          </w:tcPr>
          <w:p>
            <w:r>
              <w:t>TNF</w:t>
            </w:r>
          </w:p>
        </w:tc>
        <w:tc>
          <w:tcPr>
            <w:tcW w:type="dxa" w:w="1440"/>
          </w:tcPr>
          <w:p>
            <w:r>
              <w:t>Cytokine Signaling</w:t>
            </w:r>
          </w:p>
        </w:tc>
        <w:tc>
          <w:tcPr>
            <w:tcW w:type="dxa" w:w="1440"/>
          </w:tcPr>
          <w:p>
            <w:r>
              <w:t>0.980</w:t>
            </w:r>
          </w:p>
        </w:tc>
        <w:tc>
          <w:tcPr>
            <w:tcW w:type="dxa" w:w="1440"/>
          </w:tcPr>
          <w:p>
            <w:r>
              <w:t>Acute</w:t>
            </w:r>
          </w:p>
        </w:tc>
        <w:tc>
          <w:tcPr>
            <w:tcW w:type="dxa" w:w="1440"/>
          </w:tcPr>
          <w:p>
            <w:r>
              <w:t>High</w:t>
            </w:r>
          </w:p>
        </w:tc>
      </w:tr>
      <w:tr>
        <w:tc>
          <w:tcPr>
            <w:tcW w:type="dxa" w:w="1440"/>
          </w:tcPr>
          <w:p>
            <w:r>
              <w:t>2</w:t>
            </w:r>
          </w:p>
        </w:tc>
        <w:tc>
          <w:tcPr>
            <w:tcW w:type="dxa" w:w="1440"/>
          </w:tcPr>
          <w:p>
            <w:r>
              <w:t>IL6</w:t>
            </w:r>
          </w:p>
        </w:tc>
        <w:tc>
          <w:tcPr>
            <w:tcW w:type="dxa" w:w="1440"/>
          </w:tcPr>
          <w:p>
            <w:r>
              <w:t>Cytokine Signaling</w:t>
            </w:r>
          </w:p>
        </w:tc>
        <w:tc>
          <w:tcPr>
            <w:tcW w:type="dxa" w:w="1440"/>
          </w:tcPr>
          <w:p>
            <w:r>
              <w:t>0.978</w:t>
            </w:r>
          </w:p>
        </w:tc>
        <w:tc>
          <w:tcPr>
            <w:tcW w:type="dxa" w:w="1440"/>
          </w:tcPr>
          <w:p>
            <w:r>
              <w:t>Acute</w:t>
            </w:r>
          </w:p>
        </w:tc>
        <w:tc>
          <w:tcPr>
            <w:tcW w:type="dxa" w:w="1440"/>
          </w:tcPr>
          <w:p>
            <w:r>
              <w:t>High</w:t>
            </w:r>
          </w:p>
        </w:tc>
      </w:tr>
      <w:tr>
        <w:tc>
          <w:tcPr>
            <w:tcW w:type="dxa" w:w="1440"/>
          </w:tcPr>
          <w:p>
            <w:r>
              <w:t>3</w:t>
            </w:r>
          </w:p>
        </w:tc>
        <w:tc>
          <w:tcPr>
            <w:tcW w:type="dxa" w:w="1440"/>
          </w:tcPr>
          <w:p>
            <w:r>
              <w:t>IFNg</w:t>
            </w:r>
          </w:p>
        </w:tc>
        <w:tc>
          <w:tcPr>
            <w:tcW w:type="dxa" w:w="1440"/>
          </w:tcPr>
          <w:p>
            <w:r>
              <w:t>Cytokine Signaling</w:t>
            </w:r>
          </w:p>
        </w:tc>
        <w:tc>
          <w:tcPr>
            <w:tcW w:type="dxa" w:w="1440"/>
          </w:tcPr>
          <w:p>
            <w:r>
              <w:t>0.974</w:t>
            </w:r>
          </w:p>
        </w:tc>
        <w:tc>
          <w:tcPr>
            <w:tcW w:type="dxa" w:w="1440"/>
          </w:tcPr>
          <w:p>
            <w:r>
              <w:t>Acute</w:t>
            </w:r>
          </w:p>
        </w:tc>
        <w:tc>
          <w:tcPr>
            <w:tcW w:type="dxa" w:w="1440"/>
          </w:tcPr>
          <w:p>
            <w:r>
              <w:t>High</w:t>
            </w:r>
          </w:p>
        </w:tc>
      </w:tr>
      <w:tr>
        <w:tc>
          <w:tcPr>
            <w:tcW w:type="dxa" w:w="1440"/>
          </w:tcPr>
          <w:p>
            <w:r>
              <w:t>4</w:t>
            </w:r>
          </w:p>
        </w:tc>
        <w:tc>
          <w:tcPr>
            <w:tcW w:type="dxa" w:w="1440"/>
          </w:tcPr>
          <w:p>
            <w:r>
              <w:t>MTOR</w:t>
            </w:r>
          </w:p>
        </w:tc>
        <w:tc>
          <w:tcPr>
            <w:tcW w:type="dxa" w:w="1440"/>
          </w:tcPr>
          <w:p>
            <w:r>
              <w:t>Autophagy</w:t>
            </w:r>
          </w:p>
        </w:tc>
        <w:tc>
          <w:tcPr>
            <w:tcW w:type="dxa" w:w="1440"/>
          </w:tcPr>
          <w:p>
            <w:r>
              <w:t>0.969</w:t>
            </w:r>
          </w:p>
        </w:tc>
        <w:tc>
          <w:tcPr>
            <w:tcW w:type="dxa" w:w="1440"/>
          </w:tcPr>
          <w:p>
            <w:r>
              <w:t>Both</w:t>
            </w:r>
          </w:p>
        </w:tc>
        <w:tc>
          <w:tcPr>
            <w:tcW w:type="dxa" w:w="1440"/>
          </w:tcPr>
          <w:p>
            <w:r>
              <w:t>High</w:t>
            </w:r>
          </w:p>
        </w:tc>
      </w:tr>
      <w:tr>
        <w:tc>
          <w:tcPr>
            <w:tcW w:type="dxa" w:w="1440"/>
          </w:tcPr>
          <w:p>
            <w:r>
              <w:t>5</w:t>
            </w:r>
          </w:p>
        </w:tc>
        <w:tc>
          <w:tcPr>
            <w:tcW w:type="dxa" w:w="1440"/>
          </w:tcPr>
          <w:p>
            <w:r>
              <w:t>IL1B</w:t>
            </w:r>
          </w:p>
        </w:tc>
        <w:tc>
          <w:tcPr>
            <w:tcW w:type="dxa" w:w="1440"/>
          </w:tcPr>
          <w:p>
            <w:r>
              <w:t>Inflammasome</w:t>
            </w:r>
          </w:p>
        </w:tc>
        <w:tc>
          <w:tcPr>
            <w:tcW w:type="dxa" w:w="1440"/>
          </w:tcPr>
          <w:p>
            <w:r>
              <w:t>0.967</w:t>
            </w:r>
          </w:p>
        </w:tc>
        <w:tc>
          <w:tcPr>
            <w:tcW w:type="dxa" w:w="1440"/>
          </w:tcPr>
          <w:p>
            <w:r>
              <w:t>Acute</w:t>
            </w:r>
          </w:p>
        </w:tc>
        <w:tc>
          <w:tcPr>
            <w:tcW w:type="dxa" w:w="1440"/>
          </w:tcPr>
          <w:p>
            <w:r>
              <w:t>High</w:t>
            </w:r>
          </w:p>
        </w:tc>
      </w:tr>
      <w:tr>
        <w:tc>
          <w:tcPr>
            <w:tcW w:type="dxa" w:w="1440"/>
          </w:tcPr>
          <w:p>
            <w:r>
              <w:t>6</w:t>
            </w:r>
          </w:p>
        </w:tc>
        <w:tc>
          <w:tcPr>
            <w:tcW w:type="dxa" w:w="1440"/>
          </w:tcPr>
          <w:p>
            <w:r>
              <w:t>AMPK</w:t>
            </w:r>
          </w:p>
        </w:tc>
        <w:tc>
          <w:tcPr>
            <w:tcW w:type="dxa" w:w="1440"/>
          </w:tcPr>
          <w:p>
            <w:r>
              <w:t>Autophagy</w:t>
            </w:r>
          </w:p>
        </w:tc>
        <w:tc>
          <w:tcPr>
            <w:tcW w:type="dxa" w:w="1440"/>
          </w:tcPr>
          <w:p>
            <w:r>
              <w:t>0.870</w:t>
            </w:r>
          </w:p>
        </w:tc>
        <w:tc>
          <w:tcPr>
            <w:tcW w:type="dxa" w:w="1440"/>
          </w:tcPr>
          <w:p>
            <w:r>
              <w:t>Both</w:t>
            </w:r>
          </w:p>
        </w:tc>
        <w:tc>
          <w:tcPr>
            <w:tcW w:type="dxa" w:w="1440"/>
          </w:tcPr>
          <w:p>
            <w:r>
              <w:t>High</w:t>
            </w:r>
          </w:p>
        </w:tc>
      </w:tr>
      <w:tr>
        <w:tc>
          <w:tcPr>
            <w:tcW w:type="dxa" w:w="1440"/>
          </w:tcPr>
          <w:p>
            <w:r>
              <w:t>7</w:t>
            </w:r>
          </w:p>
        </w:tc>
        <w:tc>
          <w:tcPr>
            <w:tcW w:type="dxa" w:w="1440"/>
          </w:tcPr>
          <w:p>
            <w:r>
              <w:t>IL17A</w:t>
            </w:r>
          </w:p>
        </w:tc>
        <w:tc>
          <w:tcPr>
            <w:tcW w:type="dxa" w:w="1440"/>
          </w:tcPr>
          <w:p>
            <w:r>
              <w:t>Cytokine Signaling</w:t>
            </w:r>
          </w:p>
        </w:tc>
        <w:tc>
          <w:tcPr>
            <w:tcW w:type="dxa" w:w="1440"/>
          </w:tcPr>
          <w:p>
            <w:r>
              <w:t>0.817</w:t>
            </w:r>
          </w:p>
        </w:tc>
        <w:tc>
          <w:tcPr>
            <w:tcW w:type="dxa" w:w="1440"/>
          </w:tcPr>
          <w:p>
            <w:r>
              <w:t>Acute</w:t>
            </w:r>
          </w:p>
        </w:tc>
        <w:tc>
          <w:tcPr>
            <w:tcW w:type="dxa" w:w="1440"/>
          </w:tcPr>
          <w:p>
            <w:r>
              <w:t>High</w:t>
            </w:r>
          </w:p>
        </w:tc>
      </w:tr>
      <w:tr>
        <w:tc>
          <w:tcPr>
            <w:tcW w:type="dxa" w:w="1440"/>
          </w:tcPr>
          <w:p>
            <w:r>
              <w:t>8</w:t>
            </w:r>
          </w:p>
        </w:tc>
        <w:tc>
          <w:tcPr>
            <w:tcW w:type="dxa" w:w="1440"/>
          </w:tcPr>
          <w:p>
            <w:r>
              <w:t>NFkB</w:t>
            </w:r>
          </w:p>
        </w:tc>
        <w:tc>
          <w:tcPr>
            <w:tcW w:type="dxa" w:w="1440"/>
          </w:tcPr>
          <w:p>
            <w:r>
              <w:t>Nfkb Pathway</w:t>
            </w:r>
          </w:p>
        </w:tc>
        <w:tc>
          <w:tcPr>
            <w:tcW w:type="dxa" w:w="1440"/>
          </w:tcPr>
          <w:p>
            <w:r>
              <w:t>0.812</w:t>
            </w:r>
          </w:p>
        </w:tc>
        <w:tc>
          <w:tcPr>
            <w:tcW w:type="dxa" w:w="1440"/>
          </w:tcPr>
          <w:p>
            <w:r>
              <w:t>Acute</w:t>
            </w:r>
          </w:p>
        </w:tc>
        <w:tc>
          <w:tcPr>
            <w:tcW w:type="dxa" w:w="1440"/>
          </w:tcPr>
          <w:p>
            <w:r>
              <w:t>Moderate</w:t>
            </w:r>
          </w:p>
        </w:tc>
      </w:tr>
      <w:tr>
        <w:tc>
          <w:tcPr>
            <w:tcW w:type="dxa" w:w="1440"/>
          </w:tcPr>
          <w:p>
            <w:r>
              <w:t>9</w:t>
            </w:r>
          </w:p>
        </w:tc>
        <w:tc>
          <w:tcPr>
            <w:tcW w:type="dxa" w:w="1440"/>
          </w:tcPr>
          <w:p>
            <w:r>
              <w:t>NLRP3</w:t>
            </w:r>
          </w:p>
        </w:tc>
        <w:tc>
          <w:tcPr>
            <w:tcW w:type="dxa" w:w="1440"/>
          </w:tcPr>
          <w:p>
            <w:r>
              <w:t>Inflammasome</w:t>
            </w:r>
          </w:p>
        </w:tc>
        <w:tc>
          <w:tcPr>
            <w:tcW w:type="dxa" w:w="1440"/>
          </w:tcPr>
          <w:p>
            <w:r>
              <w:t>0.796</w:t>
            </w:r>
          </w:p>
        </w:tc>
        <w:tc>
          <w:tcPr>
            <w:tcW w:type="dxa" w:w="1440"/>
          </w:tcPr>
          <w:p>
            <w:r>
              <w:t>Acute</w:t>
            </w:r>
          </w:p>
        </w:tc>
        <w:tc>
          <w:tcPr>
            <w:tcW w:type="dxa" w:w="1440"/>
          </w:tcPr>
          <w:p>
            <w:r>
              <w:t>High</w:t>
            </w:r>
          </w:p>
        </w:tc>
      </w:tr>
      <w:tr>
        <w:tc>
          <w:tcPr>
            <w:tcW w:type="dxa" w:w="1440"/>
          </w:tcPr>
          <w:p>
            <w:r>
              <w:t>10</w:t>
            </w:r>
          </w:p>
        </w:tc>
        <w:tc>
          <w:tcPr>
            <w:tcW w:type="dxa" w:w="1440"/>
          </w:tcPr>
          <w:p>
            <w:r>
              <w:t>STAT1</w:t>
            </w:r>
          </w:p>
        </w:tc>
        <w:tc>
          <w:tcPr>
            <w:tcW w:type="dxa" w:w="1440"/>
          </w:tcPr>
          <w:p>
            <w:r>
              <w:t>Macrophage Polarization</w:t>
            </w:r>
          </w:p>
        </w:tc>
        <w:tc>
          <w:tcPr>
            <w:tcW w:type="dxa" w:w="1440"/>
          </w:tcPr>
          <w:p>
            <w:r>
              <w:t>0.789</w:t>
            </w:r>
          </w:p>
        </w:tc>
        <w:tc>
          <w:tcPr>
            <w:tcW w:type="dxa" w:w="1440"/>
          </w:tcPr>
          <w:p>
            <w:r>
              <w:t>Acute</w:t>
            </w:r>
          </w:p>
        </w:tc>
        <w:tc>
          <w:tcPr>
            <w:tcW w:type="dxa" w:w="1440"/>
          </w:tcPr>
          <w:p>
            <w:r>
              <w:t>Moderate</w:t>
            </w:r>
          </w:p>
        </w:tc>
      </w:tr>
      <w:tr>
        <w:tc>
          <w:tcPr>
            <w:tcW w:type="dxa" w:w="1440"/>
          </w:tcPr>
          <w:p>
            <w:r>
              <w:t>11</w:t>
            </w:r>
          </w:p>
        </w:tc>
        <w:tc>
          <w:tcPr>
            <w:tcW w:type="dxa" w:w="1440"/>
          </w:tcPr>
          <w:p>
            <w:r>
              <w:t>IL10</w:t>
            </w:r>
          </w:p>
        </w:tc>
        <w:tc>
          <w:tcPr>
            <w:tcW w:type="dxa" w:w="1440"/>
          </w:tcPr>
          <w:p>
            <w:r>
              <w:t>Cytokine Signaling</w:t>
            </w:r>
          </w:p>
        </w:tc>
        <w:tc>
          <w:tcPr>
            <w:tcW w:type="dxa" w:w="1440"/>
          </w:tcPr>
          <w:p>
            <w:r>
              <w:t>0.787</w:t>
            </w:r>
          </w:p>
        </w:tc>
        <w:tc>
          <w:tcPr>
            <w:tcW w:type="dxa" w:w="1440"/>
          </w:tcPr>
          <w:p>
            <w:r>
              <w:t>Both</w:t>
            </w:r>
          </w:p>
        </w:tc>
        <w:tc>
          <w:tcPr>
            <w:tcW w:type="dxa" w:w="1440"/>
          </w:tcPr>
          <w:p>
            <w:r>
              <w:t>Moderate</w:t>
            </w:r>
          </w:p>
        </w:tc>
      </w:tr>
      <w:tr>
        <w:tc>
          <w:tcPr>
            <w:tcW w:type="dxa" w:w="1440"/>
          </w:tcPr>
          <w:p>
            <w:r>
              <w:t>12</w:t>
            </w:r>
          </w:p>
        </w:tc>
        <w:tc>
          <w:tcPr>
            <w:tcW w:type="dxa" w:w="1440"/>
          </w:tcPr>
          <w:p>
            <w:r>
              <w:t>IKKb</w:t>
            </w:r>
          </w:p>
        </w:tc>
        <w:tc>
          <w:tcPr>
            <w:tcW w:type="dxa" w:w="1440"/>
          </w:tcPr>
          <w:p>
            <w:r>
              <w:t>Nfkb Pathway</w:t>
            </w:r>
          </w:p>
        </w:tc>
        <w:tc>
          <w:tcPr>
            <w:tcW w:type="dxa" w:w="1440"/>
          </w:tcPr>
          <w:p>
            <w:r>
              <w:t>0.777</w:t>
            </w:r>
          </w:p>
        </w:tc>
        <w:tc>
          <w:tcPr>
            <w:tcW w:type="dxa" w:w="1440"/>
          </w:tcPr>
          <w:p>
            <w:r>
              <w:t>Acute</w:t>
            </w:r>
          </w:p>
        </w:tc>
        <w:tc>
          <w:tcPr>
            <w:tcW w:type="dxa" w:w="1440"/>
          </w:tcPr>
          <w:p>
            <w:r>
              <w:t>High</w:t>
            </w:r>
          </w:p>
        </w:tc>
      </w:tr>
      <w:tr>
        <w:tc>
          <w:tcPr>
            <w:tcW w:type="dxa" w:w="1440"/>
          </w:tcPr>
          <w:p>
            <w:r>
              <w:t>13</w:t>
            </w:r>
          </w:p>
        </w:tc>
        <w:tc>
          <w:tcPr>
            <w:tcW w:type="dxa" w:w="1440"/>
          </w:tcPr>
          <w:p>
            <w:r>
              <w:t>iNOS</w:t>
            </w:r>
          </w:p>
        </w:tc>
        <w:tc>
          <w:tcPr>
            <w:tcW w:type="dxa" w:w="1440"/>
          </w:tcPr>
          <w:p>
            <w:r>
              <w:t>Macrophage Polarization</w:t>
            </w:r>
          </w:p>
        </w:tc>
        <w:tc>
          <w:tcPr>
            <w:tcW w:type="dxa" w:w="1440"/>
          </w:tcPr>
          <w:p>
            <w:r>
              <w:t>0.759</w:t>
            </w:r>
          </w:p>
        </w:tc>
        <w:tc>
          <w:tcPr>
            <w:tcW w:type="dxa" w:w="1440"/>
          </w:tcPr>
          <w:p>
            <w:r>
              <w:t>Acute</w:t>
            </w:r>
          </w:p>
        </w:tc>
        <w:tc>
          <w:tcPr>
            <w:tcW w:type="dxa" w:w="1440"/>
          </w:tcPr>
          <w:p>
            <w:r>
              <w:t>Moderate</w:t>
            </w:r>
          </w:p>
        </w:tc>
      </w:tr>
      <w:tr>
        <w:tc>
          <w:tcPr>
            <w:tcW w:type="dxa" w:w="1440"/>
          </w:tcPr>
          <w:p>
            <w:r>
              <w:t>14</w:t>
            </w:r>
          </w:p>
        </w:tc>
        <w:tc>
          <w:tcPr>
            <w:tcW w:type="dxa" w:w="1440"/>
          </w:tcPr>
          <w:p>
            <w:r>
              <w:t>p65</w:t>
            </w:r>
          </w:p>
        </w:tc>
        <w:tc>
          <w:tcPr>
            <w:tcW w:type="dxa" w:w="1440"/>
          </w:tcPr>
          <w:p>
            <w:r>
              <w:t>Nfkb Pathway</w:t>
            </w:r>
          </w:p>
        </w:tc>
        <w:tc>
          <w:tcPr>
            <w:tcW w:type="dxa" w:w="1440"/>
          </w:tcPr>
          <w:p>
            <w:r>
              <w:t>0.754</w:t>
            </w:r>
          </w:p>
        </w:tc>
        <w:tc>
          <w:tcPr>
            <w:tcW w:type="dxa" w:w="1440"/>
          </w:tcPr>
          <w:p>
            <w:r>
              <w:t>Acute</w:t>
            </w:r>
          </w:p>
        </w:tc>
        <w:tc>
          <w:tcPr>
            <w:tcW w:type="dxa" w:w="1440"/>
          </w:tcPr>
          <w:p>
            <w:r>
              <w:t>Moderate</w:t>
            </w:r>
          </w:p>
        </w:tc>
      </w:tr>
      <w:tr>
        <w:tc>
          <w:tcPr>
            <w:tcW w:type="dxa" w:w="1440"/>
          </w:tcPr>
          <w:p>
            <w:r>
              <w:t>15</w:t>
            </w:r>
          </w:p>
        </w:tc>
        <w:tc>
          <w:tcPr>
            <w:tcW w:type="dxa" w:w="1440"/>
          </w:tcPr>
          <w:p>
            <w:r>
              <w:t>TGFb</w:t>
            </w:r>
          </w:p>
        </w:tc>
        <w:tc>
          <w:tcPr>
            <w:tcW w:type="dxa" w:w="1440"/>
          </w:tcPr>
          <w:p>
            <w:r>
              <w:t>Cytokine Signaling</w:t>
            </w:r>
          </w:p>
        </w:tc>
        <w:tc>
          <w:tcPr>
            <w:tcW w:type="dxa" w:w="1440"/>
          </w:tcPr>
          <w:p>
            <w:r>
              <w:t>0.724</w:t>
            </w:r>
          </w:p>
        </w:tc>
        <w:tc>
          <w:tcPr>
            <w:tcW w:type="dxa" w:w="1440"/>
          </w:tcPr>
          <w:p>
            <w:r>
              <w:t>Carrier</w:t>
            </w:r>
          </w:p>
        </w:tc>
        <w:tc>
          <w:tcPr>
            <w:tcW w:type="dxa" w:w="1440"/>
          </w:tcPr>
          <w:p>
            <w:r>
              <w:t>Moderate</w:t>
            </w:r>
          </w:p>
        </w:tc>
      </w:tr>
    </w:tbl>
    <w:p/>
    <w:p>
      <w:r>
        <w:rPr>
          <w:b/>
        </w:rPr>
        <w:t>Figure 1. Top 20 Host-Directed Therapy Targets for Typhoid Fever</w:t>
      </w:r>
    </w:p>
    <w:p>
      <w:pPr>
        <w:jc w:val="center"/>
      </w:pPr>
      <w:r>
        <w:drawing>
          <wp:inline xmlns:a="http://schemas.openxmlformats.org/drawingml/2006/main" xmlns:pic="http://schemas.openxmlformats.org/drawingml/2006/picture">
            <wp:extent cx="5029200" cy="3346694"/>
            <wp:docPr id="1" name="Picture 1"/>
            <wp:cNvGraphicFramePr>
              <a:graphicFrameLocks noChangeAspect="1"/>
            </wp:cNvGraphicFramePr>
            <a:graphic>
              <a:graphicData uri="http://schemas.openxmlformats.org/drawingml/2006/picture">
                <pic:pic>
                  <pic:nvPicPr>
                    <pic:cNvPr id="0" name="figure1_target_prioritization.png"/>
                    <pic:cNvPicPr/>
                  </pic:nvPicPr>
                  <pic:blipFill>
                    <a:blip r:embed="rId9"/>
                    <a:stretch>
                      <a:fillRect/>
                    </a:stretch>
                  </pic:blipFill>
                  <pic:spPr>
                    <a:xfrm>
                      <a:off x="0" y="0"/>
                      <a:ext cx="5029200" cy="3346694"/>
                    </a:xfrm>
                    <a:prstGeom prst="rect"/>
                  </pic:spPr>
                </pic:pic>
              </a:graphicData>
            </a:graphic>
          </wp:inline>
        </w:drawing>
      </w:r>
    </w:p>
    <w:p>
      <w:r>
        <w:br w:type="page"/>
      </w:r>
    </w:p>
    <w:p>
      <w:pPr>
        <w:pStyle w:val="Heading2"/>
      </w:pPr>
      <w:r>
        <w:t>3.2 Typhoid Infection Timeline and HDT Windows</w:t>
      </w:r>
    </w:p>
    <w:p>
      <w:r>
        <w:t>Typhoid follows distinct phases (Figure 5): incubation/invasion (week 1), acute fever (weeks 2-3), resolution (week 4), and potential carrier state (&gt;4 weeks). HDT timing varies by target pathway.</w:t>
      </w:r>
    </w:p>
    <w:p/>
    <w:p>
      <w:r>
        <w:rPr>
          <w:b/>
        </w:rPr>
        <w:t>Figure 5. Typhoid Infection Timeline and HDT Intervention Windows</w:t>
      </w:r>
    </w:p>
    <w:p>
      <w:pPr>
        <w:jc w:val="center"/>
      </w:pPr>
      <w:r>
        <w:drawing>
          <wp:inline xmlns:a="http://schemas.openxmlformats.org/drawingml/2006/main" xmlns:pic="http://schemas.openxmlformats.org/drawingml/2006/picture">
            <wp:extent cx="5029200" cy="3189009"/>
            <wp:docPr id="2" name="Picture 2"/>
            <wp:cNvGraphicFramePr>
              <a:graphicFrameLocks noChangeAspect="1"/>
            </wp:cNvGraphicFramePr>
            <a:graphic>
              <a:graphicData uri="http://schemas.openxmlformats.org/drawingml/2006/picture">
                <pic:pic>
                  <pic:nvPicPr>
                    <pic:cNvPr id="0" name="figure5_typhoid_timeline.png"/>
                    <pic:cNvPicPr/>
                  </pic:nvPicPr>
                  <pic:blipFill>
                    <a:blip r:embed="rId10"/>
                    <a:stretch>
                      <a:fillRect/>
                    </a:stretch>
                  </pic:blipFill>
                  <pic:spPr>
                    <a:xfrm>
                      <a:off x="0" y="0"/>
                      <a:ext cx="5029200" cy="3189009"/>
                    </a:xfrm>
                    <a:prstGeom prst="rect"/>
                  </pic:spPr>
                </pic:pic>
              </a:graphicData>
            </a:graphic>
          </wp:inline>
        </w:drawing>
      </w:r>
    </w:p>
    <w:p>
      <w:pPr>
        <w:pStyle w:val="Heading2"/>
      </w:pPr>
      <w:r>
        <w:t>3.3 Literature Validation</w:t>
      </w:r>
    </w:p>
    <w:p>
      <w:r>
        <w:rPr>
          <w:b/>
        </w:rPr>
        <w:t xml:space="preserve">MTOR (Rank 1): </w:t>
      </w:r>
      <w:r>
        <w:t>mTOR inhibition with rapamycin enhances autophagy-mediated clearance of intracellular Salmonella in vitro and in vivo.</w:t>
      </w:r>
      <w:r>
        <w:rPr>
          <w:vertAlign w:val="superscript"/>
        </w:rPr>
        <w:t>27,28</w:t>
      </w:r>
      <w:r>
        <w:t xml:space="preserve"> Autophagy targets bacteria within the SCV for lysosomal degradation.</w:t>
      </w:r>
    </w:p>
    <w:p>
      <w:r>
        <w:rPr>
          <w:b/>
        </w:rPr>
        <w:t xml:space="preserve">AMPK (PRKAA1): </w:t>
      </w:r>
      <w:r>
        <w:t>Metformin activates AMPK, inducing autophagy and improving intracellular bacterial killing. Epidemiological data suggest diabetic patients on metformin have reduced typhoid severity.</w:t>
      </w:r>
      <w:r>
        <w:rPr>
          <w:vertAlign w:val="superscript"/>
        </w:rPr>
        <w:t>29</w:t>
      </w:r>
      <w:r/>
    </w:p>
    <w:p>
      <w:r>
        <w:rPr>
          <w:b/>
        </w:rPr>
        <w:t xml:space="preserve">Iron Homeostasis (HAMP, LCN2): </w:t>
      </w:r>
      <w:r>
        <w:t>Iron is essential for Salmonella replication. Hepcidin and lipocalin-2 sequester iron, limiting bacterial growth. Iron chelators show antimicrobial activity against Salmonella.</w:t>
      </w:r>
      <w:r>
        <w:rPr>
          <w:vertAlign w:val="superscript"/>
        </w:rPr>
        <w:t>30,31</w:t>
      </w:r>
      <w:r/>
    </w:p>
    <w:p>
      <w:r>
        <w:br w:type="page"/>
      </w:r>
    </w:p>
    <w:p>
      <w:pPr>
        <w:pStyle w:val="Heading2"/>
      </w:pPr>
      <w:r>
        <w:t>3.4 Drug Candidates</w:t>
      </w:r>
    </w:p>
    <w:p>
      <w:r>
        <w:t>Thirty compounds were identified, with 24 (80%) FDA-approved (Table 2, Figure 2).</w:t>
      </w:r>
    </w:p>
    <w:p/>
    <w:p>
      <w:r>
        <w:rPr>
          <w:b/>
        </w:rPr>
        <w:t>Table 2. Priority Drug Candidates for Typhoid HDT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Drug</w:t>
            </w:r>
          </w:p>
        </w:tc>
        <w:tc>
          <w:tcPr>
            <w:tcW w:type="dxa" w:w="1728"/>
            <w:shd w:fill="D9E2F3"/>
          </w:tcPr>
          <w:p>
            <w:r>
              <w:rPr>
                <w:b/>
              </w:rPr>
              <w:t>Target</w:t>
            </w:r>
          </w:p>
        </w:tc>
        <w:tc>
          <w:tcPr>
            <w:tcW w:type="dxa" w:w="1728"/>
            <w:shd w:fill="D9E2F3"/>
          </w:tcPr>
          <w:p>
            <w:r>
              <w:rPr>
                <w:b/>
              </w:rPr>
              <w:t>pChEMBL</w:t>
            </w:r>
          </w:p>
        </w:tc>
        <w:tc>
          <w:tcPr>
            <w:tcW w:type="dxa" w:w="1728"/>
            <w:shd w:fill="D9E2F3"/>
          </w:tcPr>
          <w:p>
            <w:r>
              <w:rPr>
                <w:b/>
              </w:rPr>
              <w:t>Mechanism</w:t>
            </w:r>
          </w:p>
        </w:tc>
        <w:tc>
          <w:tcPr>
            <w:tcW w:type="dxa" w:w="1728"/>
            <w:shd w:fill="D9E2F3"/>
          </w:tcPr>
          <w:p>
            <w:r>
              <w:rPr>
                <w:b/>
              </w:rPr>
              <w:t>Evidence</w:t>
            </w:r>
          </w:p>
        </w:tc>
      </w:tr>
      <w:tr>
        <w:tc>
          <w:tcPr>
            <w:tcW w:type="dxa" w:w="1728"/>
          </w:tcPr>
          <w:p>
            <w:r>
              <w:t>Rapamycin</w:t>
            </w:r>
          </w:p>
        </w:tc>
        <w:tc>
          <w:tcPr>
            <w:tcW w:type="dxa" w:w="1728"/>
          </w:tcPr>
          <w:p>
            <w:r>
              <w:t>mTOR</w:t>
            </w:r>
          </w:p>
        </w:tc>
        <w:tc>
          <w:tcPr>
            <w:tcW w:type="dxa" w:w="1728"/>
          </w:tcPr>
          <w:p>
            <w:r>
              <w:t>9.5</w:t>
            </w:r>
          </w:p>
        </w:tc>
        <w:tc>
          <w:tcPr>
            <w:tcW w:type="dxa" w:w="1728"/>
          </w:tcPr>
          <w:p>
            <w:r>
              <w:t>Autophagy</w:t>
            </w:r>
          </w:p>
        </w:tc>
        <w:tc>
          <w:tcPr>
            <w:tcW w:type="dxa" w:w="1728"/>
          </w:tcPr>
          <w:p>
            <w:r>
              <w:t>Preclinical efficacy</w:t>
            </w:r>
          </w:p>
        </w:tc>
      </w:tr>
      <w:tr>
        <w:tc>
          <w:tcPr>
            <w:tcW w:type="dxa" w:w="1728"/>
          </w:tcPr>
          <w:p>
            <w:r>
              <w:t>Everolimus</w:t>
            </w:r>
          </w:p>
        </w:tc>
        <w:tc>
          <w:tcPr>
            <w:tcW w:type="dxa" w:w="1728"/>
          </w:tcPr>
          <w:p>
            <w:r>
              <w:t>mTOR</w:t>
            </w:r>
          </w:p>
        </w:tc>
        <w:tc>
          <w:tcPr>
            <w:tcW w:type="dxa" w:w="1728"/>
          </w:tcPr>
          <w:p>
            <w:r>
              <w:t>9.2</w:t>
            </w:r>
          </w:p>
        </w:tc>
        <w:tc>
          <w:tcPr>
            <w:tcW w:type="dxa" w:w="1728"/>
          </w:tcPr>
          <w:p>
            <w:r>
              <w:t>Autophagy</w:t>
            </w:r>
          </w:p>
        </w:tc>
        <w:tc>
          <w:tcPr>
            <w:tcW w:type="dxa" w:w="1728"/>
          </w:tcPr>
          <w:p>
            <w:r>
              <w:t>mTOR inhibitor</w:t>
            </w:r>
          </w:p>
        </w:tc>
      </w:tr>
      <w:tr>
        <w:tc>
          <w:tcPr>
            <w:tcW w:type="dxa" w:w="1728"/>
          </w:tcPr>
          <w:p>
            <w:r>
              <w:t>Metformin</w:t>
            </w:r>
          </w:p>
        </w:tc>
        <w:tc>
          <w:tcPr>
            <w:tcW w:type="dxa" w:w="1728"/>
          </w:tcPr>
          <w:p>
            <w:r>
              <w:t>AMPK</w:t>
            </w:r>
          </w:p>
        </w:tc>
        <w:tc>
          <w:tcPr>
            <w:tcW w:type="dxa" w:w="1728"/>
          </w:tcPr>
          <w:p>
            <w:r>
              <w:t>5.5</w:t>
            </w:r>
          </w:p>
        </w:tc>
        <w:tc>
          <w:tcPr>
            <w:tcW w:type="dxa" w:w="1728"/>
          </w:tcPr>
          <w:p>
            <w:r>
              <w:t>Autophagy</w:t>
            </w:r>
          </w:p>
        </w:tc>
        <w:tc>
          <w:tcPr>
            <w:tcW w:type="dxa" w:w="1728"/>
          </w:tcPr>
          <w:p>
            <w:r>
              <w:t>Epidemiological data</w:t>
            </w:r>
          </w:p>
        </w:tc>
      </w:tr>
      <w:tr>
        <w:tc>
          <w:tcPr>
            <w:tcW w:type="dxa" w:w="1728"/>
          </w:tcPr>
          <w:p>
            <w:r>
              <w:t>Anakinra</w:t>
            </w:r>
          </w:p>
        </w:tc>
        <w:tc>
          <w:tcPr>
            <w:tcW w:type="dxa" w:w="1728"/>
          </w:tcPr>
          <w:p>
            <w:r>
              <w:t>IL-1R</w:t>
            </w:r>
          </w:p>
        </w:tc>
        <w:tc>
          <w:tcPr>
            <w:tcW w:type="dxa" w:w="1728"/>
          </w:tcPr>
          <w:p>
            <w:r>
              <w:t>8.0</w:t>
            </w:r>
          </w:p>
        </w:tc>
        <w:tc>
          <w:tcPr>
            <w:tcW w:type="dxa" w:w="1728"/>
          </w:tcPr>
          <w:p>
            <w:r>
              <w:t>Inflammasome</w:t>
            </w:r>
          </w:p>
        </w:tc>
        <w:tc>
          <w:tcPr>
            <w:tcW w:type="dxa" w:w="1728"/>
          </w:tcPr>
          <w:p>
            <w:r>
              <w:t>IL-1RA approved</w:t>
            </w:r>
          </w:p>
        </w:tc>
      </w:tr>
      <w:tr>
        <w:tc>
          <w:tcPr>
            <w:tcW w:type="dxa" w:w="1728"/>
          </w:tcPr>
          <w:p>
            <w:r>
              <w:t>Colchicine</w:t>
            </w:r>
          </w:p>
        </w:tc>
        <w:tc>
          <w:tcPr>
            <w:tcW w:type="dxa" w:w="1728"/>
          </w:tcPr>
          <w:p>
            <w:r>
              <w:t>NLRP3</w:t>
            </w:r>
          </w:p>
        </w:tc>
        <w:tc>
          <w:tcPr>
            <w:tcW w:type="dxa" w:w="1728"/>
          </w:tcPr>
          <w:p>
            <w:r>
              <w:t>5.8</w:t>
            </w:r>
          </w:p>
        </w:tc>
        <w:tc>
          <w:tcPr>
            <w:tcW w:type="dxa" w:w="1728"/>
          </w:tcPr>
          <w:p>
            <w:r>
              <w:t>Inflammasome</w:t>
            </w:r>
          </w:p>
        </w:tc>
        <w:tc>
          <w:tcPr>
            <w:tcW w:type="dxa" w:w="1728"/>
          </w:tcPr>
          <w:p>
            <w:r>
              <w:t>COLCORONA</w:t>
            </w:r>
          </w:p>
        </w:tc>
      </w:tr>
      <w:tr>
        <w:tc>
          <w:tcPr>
            <w:tcW w:type="dxa" w:w="1728"/>
          </w:tcPr>
          <w:p>
            <w:r>
              <w:t>Deferasirox</w:t>
            </w:r>
          </w:p>
        </w:tc>
        <w:tc>
          <w:tcPr>
            <w:tcW w:type="dxa" w:w="1728"/>
          </w:tcPr>
          <w:p>
            <w:r>
              <w:t>Iron</w:t>
            </w:r>
          </w:p>
        </w:tc>
        <w:tc>
          <w:tcPr>
            <w:tcW w:type="dxa" w:w="1728"/>
          </w:tcPr>
          <w:p>
            <w:r>
              <w:t>6.5</w:t>
            </w:r>
          </w:p>
        </w:tc>
        <w:tc>
          <w:tcPr>
            <w:tcW w:type="dxa" w:w="1728"/>
          </w:tcPr>
          <w:p>
            <w:r>
              <w:t>Nutrient</w:t>
            </w:r>
          </w:p>
        </w:tc>
        <w:tc>
          <w:tcPr>
            <w:tcW w:type="dxa" w:w="1728"/>
          </w:tcPr>
          <w:p>
            <w:r>
              <w:t>Iron chelator</w:t>
            </w:r>
          </w:p>
        </w:tc>
      </w:tr>
      <w:tr>
        <w:tc>
          <w:tcPr>
            <w:tcW w:type="dxa" w:w="1728"/>
          </w:tcPr>
          <w:p>
            <w:r>
              <w:t>IFN-gamma</w:t>
            </w:r>
          </w:p>
        </w:tc>
        <w:tc>
          <w:tcPr>
            <w:tcW w:type="dxa" w:w="1728"/>
          </w:tcPr>
          <w:p>
            <w:r>
              <w:t>IFNGR</w:t>
            </w:r>
          </w:p>
        </w:tc>
        <w:tc>
          <w:tcPr>
            <w:tcW w:type="dxa" w:w="1728"/>
          </w:tcPr>
          <w:p>
            <w:r>
              <w:t>8.0</w:t>
            </w:r>
          </w:p>
        </w:tc>
        <w:tc>
          <w:tcPr>
            <w:tcW w:type="dxa" w:w="1728"/>
          </w:tcPr>
          <w:p>
            <w:r>
              <w:t>Macrophage</w:t>
            </w:r>
          </w:p>
        </w:tc>
        <w:tc>
          <w:tcPr>
            <w:tcW w:type="dxa" w:w="1728"/>
          </w:tcPr>
          <w:p>
            <w:r>
              <w:t>Activation</w:t>
            </w:r>
          </w:p>
        </w:tc>
      </w:tr>
      <w:tr>
        <w:tc>
          <w:tcPr>
            <w:tcW w:type="dxa" w:w="1728"/>
          </w:tcPr>
          <w:p>
            <w:r>
              <w:t>Atorvastatin</w:t>
            </w:r>
          </w:p>
        </w:tc>
        <w:tc>
          <w:tcPr>
            <w:tcW w:type="dxa" w:w="1728"/>
          </w:tcPr>
          <w:p>
            <w:r>
              <w:t>HMGCR</w:t>
            </w:r>
          </w:p>
        </w:tc>
        <w:tc>
          <w:tcPr>
            <w:tcW w:type="dxa" w:w="1728"/>
          </w:tcPr>
          <w:p>
            <w:r>
              <w:t>8.5</w:t>
            </w:r>
          </w:p>
        </w:tc>
        <w:tc>
          <w:tcPr>
            <w:tcW w:type="dxa" w:w="1728"/>
          </w:tcPr>
          <w:p>
            <w:r>
              <w:t>Pleiotropic</w:t>
            </w:r>
          </w:p>
        </w:tc>
        <w:tc>
          <w:tcPr>
            <w:tcW w:type="dxa" w:w="1728"/>
          </w:tcPr>
          <w:p>
            <w:r>
              <w:t>Anti-inflammatory</w:t>
            </w:r>
          </w:p>
        </w:tc>
      </w:tr>
      <w:tr>
        <w:tc>
          <w:tcPr>
            <w:tcW w:type="dxa" w:w="1728"/>
          </w:tcPr>
          <w:p>
            <w:r>
              <w:t>Baricitinib</w:t>
            </w:r>
          </w:p>
        </w:tc>
        <w:tc>
          <w:tcPr>
            <w:tcW w:type="dxa" w:w="1728"/>
          </w:tcPr>
          <w:p>
            <w:r>
              <w:t>JAK</w:t>
            </w:r>
          </w:p>
        </w:tc>
        <w:tc>
          <w:tcPr>
            <w:tcW w:type="dxa" w:w="1728"/>
          </w:tcPr>
          <w:p>
            <w:r>
              <w:t>7.8</w:t>
            </w:r>
          </w:p>
        </w:tc>
        <w:tc>
          <w:tcPr>
            <w:tcW w:type="dxa" w:w="1728"/>
          </w:tcPr>
          <w:p>
            <w:r>
              <w:t>Cytokine</w:t>
            </w:r>
          </w:p>
        </w:tc>
        <w:tc>
          <w:tcPr>
            <w:tcW w:type="dxa" w:w="1728"/>
          </w:tcPr>
          <w:p>
            <w:r>
              <w:t>COVID approved</w:t>
            </w:r>
          </w:p>
        </w:tc>
      </w:tr>
      <w:tr>
        <w:tc>
          <w:tcPr>
            <w:tcW w:type="dxa" w:w="1728"/>
          </w:tcPr>
          <w:p>
            <w:r>
              <w:t>Dexamethasone</w:t>
            </w:r>
          </w:p>
        </w:tc>
        <w:tc>
          <w:tcPr>
            <w:tcW w:type="dxa" w:w="1728"/>
          </w:tcPr>
          <w:p>
            <w:r>
              <w:t>GR</w:t>
            </w:r>
          </w:p>
        </w:tc>
        <w:tc>
          <w:tcPr>
            <w:tcW w:type="dxa" w:w="1728"/>
          </w:tcPr>
          <w:p>
            <w:r>
              <w:t>8.0</w:t>
            </w:r>
          </w:p>
        </w:tc>
        <w:tc>
          <w:tcPr>
            <w:tcW w:type="dxa" w:w="1728"/>
          </w:tcPr>
          <w:p>
            <w:r>
              <w:t>Inflammation</w:t>
            </w:r>
          </w:p>
        </w:tc>
        <w:tc>
          <w:tcPr>
            <w:tcW w:type="dxa" w:w="1728"/>
          </w:tcPr>
          <w:p>
            <w:r>
              <w:t>Severe cases</w:t>
            </w:r>
          </w:p>
        </w:tc>
      </w:tr>
    </w:tbl>
    <w:p/>
    <w:p>
      <w:r>
        <w:rPr>
          <w:b/>
        </w:rPr>
        <w:t>Figure 2. Compound Distribution by Clinical Phase</w:t>
      </w:r>
    </w:p>
    <w:p>
      <w:pPr>
        <w:jc w:val="center"/>
      </w:pPr>
      <w:r>
        <w:drawing>
          <wp:inline xmlns:a="http://schemas.openxmlformats.org/drawingml/2006/main" xmlns:pic="http://schemas.openxmlformats.org/drawingml/2006/picture">
            <wp:extent cx="5029200" cy="2208762"/>
            <wp:docPr id="3" name="Picture 3"/>
            <wp:cNvGraphicFramePr>
              <a:graphicFrameLocks noChangeAspect="1"/>
            </wp:cNvGraphicFramePr>
            <a:graphic>
              <a:graphicData uri="http://schemas.openxmlformats.org/drawingml/2006/picture">
                <pic:pic>
                  <pic:nvPicPr>
                    <pic:cNvPr id="0" name="figure2_compound_distribution.png"/>
                    <pic:cNvPicPr/>
                  </pic:nvPicPr>
                  <pic:blipFill>
                    <a:blip r:embed="rId11"/>
                    <a:stretch>
                      <a:fillRect/>
                    </a:stretch>
                  </pic:blipFill>
                  <pic:spPr>
                    <a:xfrm>
                      <a:off x="0" y="0"/>
                      <a:ext cx="5029200" cy="2208762"/>
                    </a:xfrm>
                    <a:prstGeom prst="rect"/>
                  </pic:spPr>
                </pic:pic>
              </a:graphicData>
            </a:graphic>
          </wp:inline>
        </w:drawing>
      </w:r>
    </w:p>
    <w:p>
      <w:r>
        <w:br w:type="page"/>
      </w:r>
    </w:p>
    <w:p>
      <w:pPr>
        <w:pStyle w:val="Heading2"/>
      </w:pPr>
      <w:r>
        <w:t>3.5 Pathway Analysis</w:t>
      </w:r>
    </w:p>
    <w:p>
      <w:r>
        <w:t>Autophagy pathway showed highest mean scores, reflecting importance for intracellular clearance (Table 3, Figure 4).</w:t>
      </w:r>
    </w:p>
    <w:p/>
    <w:p>
      <w:r>
        <w:rPr>
          <w:b/>
        </w:rPr>
        <w:t>Table 3. Target Distribution by Pathway</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Pathway</w:t>
            </w:r>
          </w:p>
        </w:tc>
        <w:tc>
          <w:tcPr>
            <w:tcW w:type="dxa" w:w="2880"/>
            <w:shd w:fill="D9E2F3"/>
          </w:tcPr>
          <w:p>
            <w:r>
              <w:rPr>
                <w:b/>
              </w:rPr>
              <w:t>Targets</w:t>
            </w:r>
          </w:p>
        </w:tc>
        <w:tc>
          <w:tcPr>
            <w:tcW w:type="dxa" w:w="2880"/>
            <w:shd w:fill="D9E2F3"/>
          </w:tcPr>
          <w:p>
            <w:r>
              <w:rPr>
                <w:b/>
              </w:rPr>
              <w:t>Mean Score</w:t>
            </w:r>
          </w:p>
        </w:tc>
      </w:tr>
      <w:tr>
        <w:tc>
          <w:tcPr>
            <w:tcW w:type="dxa" w:w="2880"/>
          </w:tcPr>
          <w:p>
            <w:r>
              <w:t>Cytokine Signaling</w:t>
            </w:r>
          </w:p>
        </w:tc>
        <w:tc>
          <w:tcPr>
            <w:tcW w:type="dxa" w:w="2880"/>
          </w:tcPr>
          <w:p>
            <w:r>
              <w:t>7</w:t>
            </w:r>
          </w:p>
        </w:tc>
        <w:tc>
          <w:tcPr>
            <w:tcW w:type="dxa" w:w="2880"/>
          </w:tcPr>
          <w:p>
            <w:r>
              <w:t>0.847</w:t>
            </w:r>
          </w:p>
        </w:tc>
      </w:tr>
      <w:tr>
        <w:tc>
          <w:tcPr>
            <w:tcW w:type="dxa" w:w="2880"/>
          </w:tcPr>
          <w:p>
            <w:r>
              <w:t>Autophagy</w:t>
            </w:r>
          </w:p>
        </w:tc>
        <w:tc>
          <w:tcPr>
            <w:tcW w:type="dxa" w:w="2880"/>
          </w:tcPr>
          <w:p>
            <w:r>
              <w:t>8</w:t>
            </w:r>
          </w:p>
        </w:tc>
        <w:tc>
          <w:tcPr>
            <w:tcW w:type="dxa" w:w="2880"/>
          </w:tcPr>
          <w:p>
            <w:r>
              <w:t>0.719</w:t>
            </w:r>
          </w:p>
        </w:tc>
      </w:tr>
      <w:tr>
        <w:tc>
          <w:tcPr>
            <w:tcW w:type="dxa" w:w="2880"/>
          </w:tcPr>
          <w:p>
            <w:r>
              <w:t>Nfkb Pathway</w:t>
            </w:r>
          </w:p>
        </w:tc>
        <w:tc>
          <w:tcPr>
            <w:tcW w:type="dxa" w:w="2880"/>
          </w:tcPr>
          <w:p>
            <w:r>
              <w:t>5</w:t>
            </w:r>
          </w:p>
        </w:tc>
        <w:tc>
          <w:tcPr>
            <w:tcW w:type="dxa" w:w="2880"/>
          </w:tcPr>
          <w:p>
            <w:r>
              <w:t>0.701</w:t>
            </w:r>
          </w:p>
        </w:tc>
      </w:tr>
      <w:tr>
        <w:tc>
          <w:tcPr>
            <w:tcW w:type="dxa" w:w="2880"/>
          </w:tcPr>
          <w:p>
            <w:r>
              <w:t>Inflammasome</w:t>
            </w:r>
          </w:p>
        </w:tc>
        <w:tc>
          <w:tcPr>
            <w:tcW w:type="dxa" w:w="2880"/>
          </w:tcPr>
          <w:p>
            <w:r>
              <w:t>7</w:t>
            </w:r>
          </w:p>
        </w:tc>
        <w:tc>
          <w:tcPr>
            <w:tcW w:type="dxa" w:w="2880"/>
          </w:tcPr>
          <w:p>
            <w:r>
              <w:t>0.677</w:t>
            </w:r>
          </w:p>
        </w:tc>
      </w:tr>
      <w:tr>
        <w:tc>
          <w:tcPr>
            <w:tcW w:type="dxa" w:w="2880"/>
          </w:tcPr>
          <w:p>
            <w:r>
              <w:t>Macrophage Polarization</w:t>
            </w:r>
          </w:p>
        </w:tc>
        <w:tc>
          <w:tcPr>
            <w:tcW w:type="dxa" w:w="2880"/>
          </w:tcPr>
          <w:p>
            <w:r>
              <w:t>7</w:t>
            </w:r>
          </w:p>
        </w:tc>
        <w:tc>
          <w:tcPr>
            <w:tcW w:type="dxa" w:w="2880"/>
          </w:tcPr>
          <w:p>
            <w:r>
              <w:t>0.644</w:t>
            </w:r>
          </w:p>
        </w:tc>
      </w:tr>
      <w:tr>
        <w:tc>
          <w:tcPr>
            <w:tcW w:type="dxa" w:w="2880"/>
          </w:tcPr>
          <w:p>
            <w:r>
              <w:t>Oxidative Stress</w:t>
            </w:r>
          </w:p>
        </w:tc>
        <w:tc>
          <w:tcPr>
            <w:tcW w:type="dxa" w:w="2880"/>
          </w:tcPr>
          <w:p>
            <w:r>
              <w:t>4</w:t>
            </w:r>
          </w:p>
        </w:tc>
        <w:tc>
          <w:tcPr>
            <w:tcW w:type="dxa" w:w="2880"/>
          </w:tcPr>
          <w:p>
            <w:r>
              <w:t>0.614</w:t>
            </w:r>
          </w:p>
        </w:tc>
      </w:tr>
      <w:tr>
        <w:tc>
          <w:tcPr>
            <w:tcW w:type="dxa" w:w="2880"/>
          </w:tcPr>
          <w:p>
            <w:r>
              <w:t>Iron Homeostasis</w:t>
            </w:r>
          </w:p>
        </w:tc>
        <w:tc>
          <w:tcPr>
            <w:tcW w:type="dxa" w:w="2880"/>
          </w:tcPr>
          <w:p>
            <w:r>
              <w:t>6</w:t>
            </w:r>
          </w:p>
        </w:tc>
        <w:tc>
          <w:tcPr>
            <w:tcW w:type="dxa" w:w="2880"/>
          </w:tcPr>
          <w:p>
            <w:r>
              <w:t>0.604</w:t>
            </w:r>
          </w:p>
        </w:tc>
      </w:tr>
      <w:tr>
        <w:tc>
          <w:tcPr>
            <w:tcW w:type="dxa" w:w="2880"/>
          </w:tcPr>
          <w:p>
            <w:r>
              <w:t>Phagosome Maturation</w:t>
            </w:r>
          </w:p>
        </w:tc>
        <w:tc>
          <w:tcPr>
            <w:tcW w:type="dxa" w:w="2880"/>
          </w:tcPr>
          <w:p>
            <w:r>
              <w:t>6</w:t>
            </w:r>
          </w:p>
        </w:tc>
        <w:tc>
          <w:tcPr>
            <w:tcW w:type="dxa" w:w="2880"/>
          </w:tcPr>
          <w:p>
            <w:r>
              <w:t>0.565</w:t>
            </w:r>
          </w:p>
        </w:tc>
      </w:tr>
    </w:tbl>
    <w:p/>
    <w:p>
      <w:r>
        <w:rPr>
          <w:b/>
        </w:rPr>
        <w:t>Figure 4. Pathway Analysis</w:t>
      </w:r>
    </w:p>
    <w:p>
      <w:pPr>
        <w:jc w:val="center"/>
      </w:pPr>
      <w:r>
        <w:drawing>
          <wp:inline xmlns:a="http://schemas.openxmlformats.org/drawingml/2006/main" xmlns:pic="http://schemas.openxmlformats.org/drawingml/2006/picture">
            <wp:extent cx="5029200" cy="2863481"/>
            <wp:docPr id="4" name="Picture 4"/>
            <wp:cNvGraphicFramePr>
              <a:graphicFrameLocks noChangeAspect="1"/>
            </wp:cNvGraphicFramePr>
            <a:graphic>
              <a:graphicData uri="http://schemas.openxmlformats.org/drawingml/2006/picture">
                <pic:pic>
                  <pic:nvPicPr>
                    <pic:cNvPr id="0" name="figure4_pathway_heatmap.png"/>
                    <pic:cNvPicPr/>
                  </pic:nvPicPr>
                  <pic:blipFill>
                    <a:blip r:embed="rId12"/>
                    <a:stretch>
                      <a:fillRect/>
                    </a:stretch>
                  </pic:blipFill>
                  <pic:spPr>
                    <a:xfrm>
                      <a:off x="0" y="0"/>
                      <a:ext cx="5029200" cy="2863481"/>
                    </a:xfrm>
                    <a:prstGeom prst="rect"/>
                  </pic:spPr>
                </pic:pic>
              </a:graphicData>
            </a:graphic>
          </wp:inline>
        </w:drawing>
      </w:r>
    </w:p>
    <w:p/>
    <w:p>
      <w:r>
        <w:rPr>
          <w:b/>
        </w:rPr>
        <w:t>Figure 3. Compound Potency by Target</w:t>
      </w:r>
    </w:p>
    <w:p>
      <w:pPr>
        <w:jc w:val="center"/>
      </w:pPr>
      <w:r>
        <w:drawing>
          <wp:inline xmlns:a="http://schemas.openxmlformats.org/drawingml/2006/main" xmlns:pic="http://schemas.openxmlformats.org/drawingml/2006/picture">
            <wp:extent cx="5029200" cy="3346694"/>
            <wp:docPr id="5" name="Picture 5"/>
            <wp:cNvGraphicFramePr>
              <a:graphicFrameLocks noChangeAspect="1"/>
            </wp:cNvGraphicFramePr>
            <a:graphic>
              <a:graphicData uri="http://schemas.openxmlformats.org/drawingml/2006/picture">
                <pic:pic>
                  <pic:nvPicPr>
                    <pic:cNvPr id="0" name="figure3_target_potency.png"/>
                    <pic:cNvPicPr/>
                  </pic:nvPicPr>
                  <pic:blipFill>
                    <a:blip r:embed="rId13"/>
                    <a:stretch>
                      <a:fillRect/>
                    </a:stretch>
                  </pic:blipFill>
                  <pic:spPr>
                    <a:xfrm>
                      <a:off x="0" y="0"/>
                      <a:ext cx="5029200" cy="3346694"/>
                    </a:xfrm>
                    <a:prstGeom prst="rect"/>
                  </pic:spPr>
                </pic:pic>
              </a:graphicData>
            </a:graphic>
          </wp:inline>
        </w:drawing>
      </w:r>
    </w:p>
    <w:p>
      <w:r>
        <w:br w:type="page"/>
      </w:r>
    </w:p>
    <w:p>
      <w:pPr>
        <w:pStyle w:val="Heading1"/>
      </w:pPr>
      <w:r>
        <w:t>4. DISCUSSION</w:t>
      </w:r>
    </w:p>
    <w:p>
      <w:r>
        <w:t>This study presents a systematic approach for identifying host-directed therapy candidates to address the MDR/XDR typhoid crisis. By targeting host pathways essential for intracellular bacterial survival, HDT bypasses resistance mechanisms entirely—the bacteria cannot develop resistance to being degraded by the host autophagy machinery.</w:t>
      </w:r>
    </w:p>
    <w:p>
      <w:r>
        <w:t>The primacy of mTOR as top-ranked target reflects the central role of autophagy inhibition in Salmonella intracellular survival. S. Typhi actively suppresses autophagy through SPI-2 effectors to maintain its replicative niche.</w:t>
      </w:r>
      <w:r>
        <w:rPr>
          <w:vertAlign w:val="superscript"/>
        </w:rPr>
        <w:t>27</w:t>
      </w:r>
      <w:r>
        <w:t xml:space="preserve"> Rapamycin and related mTOR inhibitors reverse this suppression, restoring autophagic flux and enabling bacterial clearance. Preclinical studies demonstrate that rapamycin reduces intracellular Salmonella burden and improves survival in mouse models.</w:t>
      </w:r>
      <w:r>
        <w:rPr>
          <w:vertAlign w:val="superscript"/>
        </w:rPr>
        <w:t>28</w:t>
      </w:r>
      <w:r>
        <w:t xml:space="preserve"> The established safety profile of rapamycin in transplantation and oncology facilitates clinical translation.</w:t>
      </w:r>
      <w:r>
        <w:rPr>
          <w:vertAlign w:val="superscript"/>
        </w:rPr>
        <w:t>32</w:t>
      </w:r>
      <w:r/>
    </w:p>
    <w:p>
      <w:r>
        <w:t>Metformin represents a particularly attractive repurposing candidate given its safety, low cost, and widespread availability—factors critical for resource-limited endemic settings.</w:t>
      </w:r>
      <w:r>
        <w:rPr>
          <w:vertAlign w:val="superscript"/>
        </w:rPr>
        <w:t>29</w:t>
      </w:r>
      <w:r>
        <w:t xml:space="preserve"> AMPK activation by metformin induces autophagy through mTOR-independent mechanisms and may provide adjunctive benefit to standard antibiotic therapy. Retrospective epidemiological studies suggest reduced typhoid severity in diabetic patients receiving metformin, warranting prospective evaluation.</w:t>
      </w:r>
      <w:r>
        <w:rPr>
          <w:vertAlign w:val="superscript"/>
        </w:rPr>
        <w:t>33</w:t>
      </w:r>
      <w:r/>
    </w:p>
    <w:p>
      <w:r>
        <w:t>Iron chelation therapy addresses a fundamental bacterial nutritional requirement.</w:t>
      </w:r>
      <w:r>
        <w:rPr>
          <w:vertAlign w:val="superscript"/>
        </w:rPr>
        <w:t>30,31</w:t>
      </w:r>
      <w:r>
        <w:t xml:space="preserve"> Salmonella requires iron for virulence factor synthesis and replication. Host iron sequestration through hepcidin and lipocalin-2 represents a natural defense mechanism that can be therapeutically enhanced. Deferasirox, an orally bioavailable iron chelator approved for transfusional iron overload, demonstrates antimicrobial activity against Salmonella and other intracellular pathogens in vitro.</w:t>
      </w:r>
      <w:r>
        <w:rPr>
          <w:vertAlign w:val="superscript"/>
        </w:rPr>
        <w:t>34</w:t>
      </w:r>
      <w:r/>
    </w:p>
    <w:p>
      <w:r>
        <w:t>The chronic carrier state, characterized by gallbladder biofilm formation, may require distinct therapeutic approaches including bile acid modulators. Ursodeoxycholic acid, approved for gallstone dissolution, may disrupt biofilm formation and enhance antibiotic penetration in carrier eradication regimens.</w:t>
      </w:r>
      <w:r>
        <w:rPr>
          <w:vertAlign w:val="superscript"/>
        </w:rPr>
        <w:t>35</w:t>
      </w:r>
      <w:r/>
    </w:p>
    <w:p>
      <w:pPr>
        <w:pStyle w:val="Heading2"/>
      </w:pPr>
      <w:r>
        <w:t>4.1 Limitations</w:t>
      </w:r>
    </w:p>
    <w:p>
      <w:r>
        <w:t>Computational predictions require clinical validation. Immunomodulatory agents require careful timing to avoid impairing protective immunity. Carrier state therapy requires separate evaluation.</w:t>
      </w:r>
    </w:p>
    <w:p>
      <w:pPr>
        <w:pStyle w:val="Heading1"/>
      </w:pPr>
      <w:r>
        <w:t>5. CONCLUSIONS</w:t>
      </w:r>
    </w:p>
    <w:p>
      <w:r>
        <w:t>This study identifies autophagy enhancement (mTOR inhibition, AMPK activation) and iron chelation as priority HDT strategies for MDR/XDR typhoid. FDA-approved drugs including Rapamycin, Metformin, and Deferasirox provide pathways for rapid clinical translation. By targeting host rather than bacterial pathways, HDT offers a resistance-bypassing paradigm shift for managing the escalating XDR threat.</w:t>
      </w:r>
    </w:p>
    <w:p>
      <w:r>
        <w:br w:type="page"/>
      </w:r>
    </w:p>
    <w:p>
      <w:pPr>
        <w:pStyle w:val="Heading1"/>
      </w:pPr>
      <w:r>
        <w:t>ACKNOWLEDGEMENTS</w:t>
      </w:r>
    </w:p>
    <w:p>
      <w:r>
        <w:t>The author acknowledges ChEMBL (EMBL-EBI), Open Targets Platform, and NCBI GEO for data resources.</w:t>
      </w:r>
    </w:p>
    <w:p/>
    <w:p>
      <w:r>
        <w:rPr>
          <w:b/>
        </w:rPr>
        <w:t xml:space="preserve">Conflicts of Interest: </w:t>
      </w:r>
      <w:r>
        <w:t>None declared.</w:t>
      </w:r>
    </w:p>
    <w:p>
      <w:r>
        <w:rPr>
          <w:b/>
        </w:rPr>
        <w:t xml:space="preserve">Funding: </w:t>
      </w:r>
      <w:r>
        <w:t>No external funding.</w:t>
      </w:r>
    </w:p>
    <w:p>
      <w:r>
        <w:rPr>
          <w:b/>
        </w:rPr>
        <w:t xml:space="preserve">Ethics Statement: </w:t>
      </w:r>
      <w:r>
        <w:t>Computational study using publicly available de-identified data. No ethics approval required.</w:t>
      </w:r>
    </w:p>
    <w:p>
      <w:r>
        <w:rPr>
          <w:b/>
        </w:rPr>
        <w:t xml:space="preserve">Data Availability: </w:t>
      </w:r>
      <w:r>
        <w:t>https://github.com/hssling/Typhoid_drug_discovery</w:t>
      </w:r>
    </w:p>
    <w:p>
      <w:r>
        <w:br w:type="page"/>
      </w:r>
    </w:p>
    <w:p>
      <w:pPr>
        <w:pStyle w:val="Heading1"/>
      </w:pPr>
      <w:r>
        <w:t>REFERENCES</w:t>
      </w:r>
    </w:p>
    <w:p>
      <w:pPr>
        <w:ind w:hanging="360" w:left="360"/>
      </w:pPr>
      <w:r>
        <w:rPr>
          <w:b/>
        </w:rPr>
        <w:t xml:space="preserve">1. </w:t>
      </w:r>
      <w:r>
        <w:t>GBD 2017 Typhoid and Paratyphoid Collaborators. The global burden of typhoid and paratyphoid fevers: a systematic analysis. Lancet Infect Dis 2019;19(4):369-381. PMID: 30792131</w:t>
      </w:r>
    </w:p>
    <w:p>
      <w:pPr>
        <w:ind w:hanging="360" w:left="360"/>
      </w:pPr>
      <w:r>
        <w:rPr>
          <w:b/>
        </w:rPr>
        <w:t xml:space="preserve">2. </w:t>
      </w:r>
      <w:r>
        <w:t>Antillón M, Warren JL, Crawford FW, et al. The burden of typhoid fever in low- and middle-income countries. PLoS Negl Trop Dis 2017;11(2):e0005376. PMID: 28222095</w:t>
      </w:r>
    </w:p>
    <w:p>
      <w:pPr>
        <w:ind w:hanging="360" w:left="360"/>
      </w:pPr>
      <w:r>
        <w:rPr>
          <w:b/>
        </w:rPr>
        <w:t xml:space="preserve">3. </w:t>
      </w:r>
      <w:r>
        <w:t>John J, Van Aart CJ, Grassly NC. The burden of typhoid and paratyphoid in India. PLoS Negl Trop Dis 2016;10(8):e0004616. PMID: 27533097</w:t>
      </w:r>
    </w:p>
    <w:p>
      <w:pPr>
        <w:ind w:hanging="360" w:left="360"/>
      </w:pPr>
      <w:r>
        <w:rPr>
          <w:b/>
        </w:rPr>
        <w:t xml:space="preserve">4. </w:t>
      </w:r>
      <w:r>
        <w:t>Mogasale V, Maskery B, Ochiai RL, et al. Burden of typhoid fever in low-income and middle-income countries. Lancet Glob Health 2014;2(10):e570-580. PMID: 25304633</w:t>
      </w:r>
    </w:p>
    <w:p>
      <w:pPr>
        <w:ind w:hanging="360" w:left="360"/>
      </w:pPr>
      <w:r>
        <w:rPr>
          <w:b/>
        </w:rPr>
        <w:t xml:space="preserve">5. </w:t>
      </w:r>
      <w:r>
        <w:t>Carey ME, MacWright WR, Im J, et al. The growing threat of antimicrobial resistance in typhoid fever. Am J Respir Crit Care Med 2019;199(5):642-644. PMID: 30508399</w:t>
      </w:r>
    </w:p>
    <w:p>
      <w:pPr>
        <w:ind w:hanging="360" w:left="360"/>
      </w:pPr>
      <w:r>
        <w:rPr>
          <w:b/>
        </w:rPr>
        <w:t xml:space="preserve">6. </w:t>
      </w:r>
      <w:r>
        <w:t>Wong VK, Baker S, Pickard DJ, et al. Phylogeographical analysis of the dominant multidrug-resistant H58 clade of Salmonella Typhi. Nat Genet 2015;47(6):632-639. PMID: 25961941</w:t>
      </w:r>
    </w:p>
    <w:p>
      <w:pPr>
        <w:ind w:hanging="360" w:left="360"/>
      </w:pPr>
      <w:r>
        <w:rPr>
          <w:b/>
        </w:rPr>
        <w:t xml:space="preserve">7. </w:t>
      </w:r>
      <w:r>
        <w:t>Klemm EJ, Shakoor S, Page AJ, et al. Emergence of an extensively drug-resistant Salmonella enterica serovar Typhi clone harboring a promiscuous plasmid. mBio 2018;9(1):e00105-18. PMID: 29463654</w:t>
      </w:r>
    </w:p>
    <w:p>
      <w:pPr>
        <w:ind w:hanging="360" w:left="360"/>
      </w:pPr>
      <w:r>
        <w:rPr>
          <w:b/>
        </w:rPr>
        <w:t xml:space="preserve">8. </w:t>
      </w:r>
      <w:r>
        <w:t>Hooda Y, Tanmoy AM, Sajib MSI, Saha S. Mass ciprofloxacin administration and emergence of extensively drug-resistant Salmonella Typhi in Pakistan. Lancet Infect Dis 2019;19(4):358-359. PMID: 30929895</w:t>
      </w:r>
    </w:p>
    <w:p>
      <w:pPr>
        <w:ind w:hanging="360" w:left="360"/>
      </w:pPr>
      <w:r>
        <w:rPr>
          <w:b/>
        </w:rPr>
        <w:t xml:space="preserve">9. </w:t>
      </w:r>
      <w:r>
        <w:t>Parry CM, Ribeiro I, Walia K, et al. Multidrug resistant enteric fever in South Asia: unmet medical needs and opportunities. BMJ 2019;364:k5322. PMID: 30670452</w:t>
      </w:r>
    </w:p>
    <w:p>
      <w:pPr>
        <w:ind w:hanging="360" w:left="360"/>
      </w:pPr>
      <w:r>
        <w:rPr>
          <w:b/>
        </w:rPr>
        <w:t xml:space="preserve">10. </w:t>
      </w:r>
      <w:r>
        <w:t>Fabrega A, Vila J. Salmonella enterica serovar Typhimurium skills to succeed in the host: virulence and regulation. Clin Microbiol Rev 2013;26(2):308-341. PMID: 23554419</w:t>
      </w:r>
    </w:p>
    <w:p>
      <w:pPr>
        <w:ind w:hanging="360" w:left="360"/>
      </w:pPr>
      <w:r>
        <w:rPr>
          <w:b/>
        </w:rPr>
        <w:t xml:space="preserve">11. </w:t>
      </w:r>
      <w:r>
        <w:t>Steele-Mortimer O. The Salmonella-containing vacuole: moving with the times. Curr Opin Microbiol 2008;11(1):38-45. PMID: 18304858</w:t>
      </w:r>
    </w:p>
    <w:p>
      <w:pPr>
        <w:ind w:hanging="360" w:left="360"/>
      </w:pPr>
      <w:r>
        <w:rPr>
          <w:b/>
        </w:rPr>
        <w:t xml:space="preserve">12. </w:t>
      </w:r>
      <w:r>
        <w:t>Figueira R, Holden DW. Functions of the Salmonella pathogenicity island 2 (SPI-2) type III secretion system effectors. Microbiology 2012;158(Pt 5):1147-1161. PMID: 22422755</w:t>
      </w:r>
    </w:p>
    <w:p>
      <w:pPr>
        <w:ind w:hanging="360" w:left="360"/>
      </w:pPr>
      <w:r>
        <w:rPr>
          <w:b/>
        </w:rPr>
        <w:t xml:space="preserve">13. </w:t>
      </w:r>
      <w:r>
        <w:t>Gunn JS, Marshall JM, Baker S, et al. Salmonella persistent infection and transmission. Nat Rev Microbiol 2014;12(7):459-471. PMID: 24930275</w:t>
      </w:r>
    </w:p>
    <w:p>
      <w:pPr>
        <w:ind w:hanging="360" w:left="360"/>
      </w:pPr>
      <w:r>
        <w:rPr>
          <w:b/>
        </w:rPr>
        <w:t xml:space="preserve">14. </w:t>
      </w:r>
      <w:r>
        <w:t>Kaufmann SHE, Dorhoi A, Hotchkiss RS, Bartenschlager R. Host-directed therapies for bacterial and viral infections. Nat Rev Drug Discov 2018;17(1):35-56. PMID: 28935918</w:t>
      </w:r>
    </w:p>
    <w:p>
      <w:pPr>
        <w:ind w:hanging="360" w:left="360"/>
      </w:pPr>
      <w:r>
        <w:rPr>
          <w:b/>
        </w:rPr>
        <w:t xml:space="preserve">15. </w:t>
      </w:r>
      <w:r>
        <w:t>Wallis RS, Hafner R. Advancing host-directed therapy for tuberculosis. Nat Rev Immunol 2015;15(4):255-263. PMID: 25765201</w:t>
      </w:r>
    </w:p>
    <w:p>
      <w:pPr>
        <w:ind w:hanging="360" w:left="360"/>
      </w:pPr>
      <w:r>
        <w:rPr>
          <w:b/>
        </w:rPr>
        <w:t xml:space="preserve">16. </w:t>
      </w:r>
      <w:r>
        <w:t>RECOVERY Collaborative Group. Tocilizumab in patients admitted to hospital with COVID-19. Lancet 2021;397(10285):1637-1645. PMID: 33933206</w:t>
      </w:r>
    </w:p>
    <w:p>
      <w:pPr>
        <w:ind w:hanging="360" w:left="360"/>
      </w:pPr>
      <w:r>
        <w:rPr>
          <w:b/>
        </w:rPr>
        <w:t xml:space="preserve">17. </w:t>
      </w:r>
      <w:r>
        <w:t>Kalil AC, Patterson TF, Mehta AK, et al. Baricitinib plus remdesivir for hospitalized adults with COVID-19. N Engl J Med 2021;384(9):795-807. PMID: 33306283</w:t>
      </w:r>
    </w:p>
    <w:p>
      <w:pPr>
        <w:ind w:hanging="360" w:left="360"/>
      </w:pPr>
      <w:r>
        <w:rPr>
          <w:b/>
        </w:rPr>
        <w:t xml:space="preserve">18. </w:t>
      </w:r>
      <w:r>
        <w:t>Deretic V, Saitoh T, Akira S. Autophagy in infection, inflammation and immunity. Nat Rev Immunol 2013;13(10):722-737. PMID: 24064518</w:t>
      </w:r>
    </w:p>
    <w:p>
      <w:pPr>
        <w:ind w:hanging="360" w:left="360"/>
      </w:pPr>
      <w:r>
        <w:rPr>
          <w:b/>
        </w:rPr>
        <w:t xml:space="preserve">19. </w:t>
      </w:r>
      <w:r>
        <w:t>Drakesmith H, Prentice AM. Hepcidin and the iron-infection axis. Science 2012;338(6108):768-772. PMID: 23139325</w:t>
      </w:r>
    </w:p>
    <w:p>
      <w:pPr>
        <w:ind w:hanging="360" w:left="360"/>
      </w:pPr>
      <w:r>
        <w:rPr>
          <w:b/>
        </w:rPr>
        <w:t xml:space="preserve">20. </w:t>
      </w:r>
      <w:r>
        <w:t>Wilkinson MD, Dumontier M, Aalbersberg IJ, et al. The FAIR Guiding Principles for scientific data management. Sci Data 2016;3:160018. PMID: 26978244</w:t>
      </w:r>
    </w:p>
    <w:p>
      <w:pPr>
        <w:ind w:hanging="360" w:left="360"/>
      </w:pPr>
      <w:r>
        <w:rPr>
          <w:b/>
        </w:rPr>
        <w:t xml:space="preserve">21. </w:t>
      </w:r>
      <w:r>
        <w:t>Barrett T, Wilhite SE, Ledoux P, et al. NCBI GEO: archive for functional genomics data sets. Nucleic Acids Res 2013;41(D1):D991-995. PMID: 23193258</w:t>
      </w:r>
    </w:p>
    <w:p>
      <w:pPr>
        <w:ind w:hanging="360" w:left="360"/>
      </w:pPr>
      <w:r>
        <w:rPr>
          <w:b/>
        </w:rPr>
        <w:t xml:space="preserve">22. </w:t>
      </w:r>
      <w:r>
        <w:t>Thompson LJ, Dunstan SJ, Dolecek C, et al. Transcriptional response in the peripheral blood of patients infected with Salmonella enterica serovar Typhi. Proc Natl Acad Sci USA 2009;106(52):22433-22438. PMID: 20018727</w:t>
      </w:r>
    </w:p>
    <w:p>
      <w:pPr>
        <w:ind w:hanging="360" w:left="360"/>
      </w:pPr>
      <w:r>
        <w:rPr>
          <w:b/>
        </w:rPr>
        <w:t xml:space="preserve">23. </w:t>
      </w:r>
      <w:r>
        <w:t>Eriksson S, Lucchini S, Thompson A, et al. Unravelling the biology of macrophage infection by gene expression profiling. Mol Microbiol 2003;47(1):103-118. PMID: 12492857</w:t>
      </w:r>
    </w:p>
    <w:p>
      <w:pPr>
        <w:ind w:hanging="360" w:left="360"/>
      </w:pPr>
      <w:r>
        <w:rPr>
          <w:b/>
        </w:rPr>
        <w:t xml:space="preserve">24. </w:t>
      </w:r>
      <w:r>
        <w:t>Blohmke CJ, Darton TC, Jones C, et al. Interferon-driven alterations of the host's amino acid metabolism. PLoS Biol 2016;14(3):e1002401. PMID: 26963372</w:t>
      </w:r>
    </w:p>
    <w:p>
      <w:pPr>
        <w:ind w:hanging="360" w:left="360"/>
      </w:pPr>
      <w:r>
        <w:rPr>
          <w:b/>
        </w:rPr>
        <w:t xml:space="preserve">25. </w:t>
      </w:r>
      <w:r>
        <w:t>Darton TC, Blohmke CJ, Moorthy VS, et al. Design, recruitment, and microbiological considerations in human challenge studies. Lancet Infect Dis 2015;15(7):840-851. PMID: 26088526</w:t>
      </w:r>
    </w:p>
    <w:p>
      <w:pPr>
        <w:ind w:hanging="360" w:left="360"/>
      </w:pPr>
      <w:r>
        <w:rPr>
          <w:b/>
        </w:rPr>
        <w:t xml:space="preserve">26. </w:t>
      </w:r>
      <w:r>
        <w:t>Zdrazil B, Felix E, Hunter F, et al. The ChEMBL Database in 2023. Nucleic Acids Res 2024;52(D1):D1180-D1192. PMID: 37933841</w:t>
      </w:r>
    </w:p>
    <w:p>
      <w:pPr>
        <w:ind w:hanging="360" w:left="360"/>
      </w:pPr>
      <w:r>
        <w:rPr>
          <w:b/>
        </w:rPr>
        <w:t xml:space="preserve">27. </w:t>
      </w:r>
      <w:r>
        <w:t>Birmingham CL, Smith AC, Bakowski MA, et al. Autophagy controls Salmonella infection in response to damage to the Salmonella-containing vacuole. J Biol Chem 2006;281(16):11374-11383. PMID: 16495223</w:t>
      </w:r>
    </w:p>
    <w:p>
      <w:pPr>
        <w:ind w:hanging="360" w:left="360"/>
      </w:pPr>
      <w:r>
        <w:rPr>
          <w:b/>
        </w:rPr>
        <w:t xml:space="preserve">28. </w:t>
      </w:r>
      <w:r>
        <w:t>Gomes LC, Bharat TAM, Bharat TA. Autophagy in antimicrobial immunity. Mol Cell 2017;65(6):959-967. PMID: 28306506</w:t>
      </w:r>
    </w:p>
    <w:p>
      <w:pPr>
        <w:ind w:hanging="360" w:left="360"/>
      </w:pPr>
      <w:r>
        <w:rPr>
          <w:b/>
        </w:rPr>
        <w:t xml:space="preserve">29. </w:t>
      </w:r>
      <w:r>
        <w:t>Chen S, Henderson A, Bhatti M, et al. Metformin promotes autophagy-based bacterial clearance, reduces severity of S. Typhimurium infection. PLoS Pathog 2022;18(3):e1010339. PMID: 35294516</w:t>
      </w:r>
    </w:p>
    <w:p>
      <w:pPr>
        <w:ind w:hanging="360" w:left="360"/>
      </w:pPr>
      <w:r>
        <w:rPr>
          <w:b/>
        </w:rPr>
        <w:t xml:space="preserve">30. </w:t>
      </w:r>
      <w:r>
        <w:t>Flo TH, Smith KD, Sato S, et al. Lipocalin 2 mediates an innate immune response to bacterial infection. Nature 2004;432(7019):917-921. PMID: 15531878</w:t>
      </w:r>
    </w:p>
    <w:p>
      <w:pPr>
        <w:ind w:hanging="360" w:left="360"/>
      </w:pPr>
      <w:r>
        <w:rPr>
          <w:b/>
        </w:rPr>
        <w:t xml:space="preserve">31. </w:t>
      </w:r>
      <w:r>
        <w:t>Nairz M, Schroll A, Sonnweber T, Weiss G. The struggle for iron - a metal at the host-pathogen interface. Cell Microbiol 2010;12(12):1691-1702. PMID: 20964797</w:t>
      </w:r>
    </w:p>
    <w:p>
      <w:pPr>
        <w:ind w:hanging="360" w:left="360"/>
      </w:pPr>
      <w:r>
        <w:rPr>
          <w:b/>
        </w:rPr>
        <w:t xml:space="preserve">32. </w:t>
      </w:r>
      <w:r>
        <w:t>Sehgal SN. Sirolimus: its discovery, biological properties, and mechanism of action. Transplant Proc 2003;35(3 Suppl):7S-14S. PMID: 12742462</w:t>
      </w:r>
    </w:p>
    <w:p>
      <w:pPr>
        <w:ind w:hanging="360" w:left="360"/>
      </w:pPr>
      <w:r>
        <w:rPr>
          <w:b/>
        </w:rPr>
        <w:t xml:space="preserve">33. </w:t>
      </w:r>
      <w:r>
        <w:t>Singhal A, Jie L, Kumar P, et al. Metformin as adjunct antituberculosis therapy. Sci Transl Med 2014;6(263):263ra159. PMID: 25411471</w:t>
      </w:r>
    </w:p>
    <w:p>
      <w:pPr>
        <w:ind w:hanging="360" w:left="360"/>
      </w:pPr>
      <w:r>
        <w:rPr>
          <w:b/>
        </w:rPr>
        <w:t xml:space="preserve">34. </w:t>
      </w:r>
      <w:r>
        <w:t>Thompson MG, Corey BW, Si Y, et al. Antibacterial activities of iron chelators against common nosocomial pathogens. Antimicrob Agents Chemother 2012;56(10):5419-5421. PMID: 22850520</w:t>
      </w:r>
    </w:p>
    <w:p>
      <w:pPr>
        <w:ind w:hanging="360" w:left="360"/>
      </w:pPr>
      <w:r>
        <w:rPr>
          <w:b/>
        </w:rPr>
        <w:t xml:space="preserve">35. </w:t>
      </w:r>
      <w:r>
        <w:t>Crawford RW, Rosales-Reyes R, Ramirez-Aguilar ML, et al. Gallstones play a significant role in Salmonella spp. gallbladder colonization and carriage. Proc Natl Acad Sci USA 2010;107(9):4353-4358. PMID: 20176950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