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88BF" w14:textId="77777777" w:rsidR="006A6BD9" w:rsidRPr="003E3368" w:rsidRDefault="006A6BD9" w:rsidP="006A6BD9">
      <w:r w:rsidRPr="003E3368">
        <w:rPr>
          <w:b/>
          <w:bCs/>
        </w:rPr>
        <w:t>Title:</w:t>
      </w:r>
      <w:r w:rsidRPr="003E3368">
        <w:t xml:space="preserve"> Host-Directed Therapy Targets in Typhoid Fever: An Integrated Multi-</w:t>
      </w:r>
      <w:proofErr w:type="gramStart"/>
      <w:r w:rsidRPr="003E3368">
        <w:t>omics</w:t>
      </w:r>
      <w:proofErr w:type="gramEnd"/>
      <w:r w:rsidRPr="003E3368">
        <w:t xml:space="preserve"> Pipeline for Addressing Multidrug-Resistant Salmonella Typhi Through Autophagy Enhancement and Macrophage Reprogramming</w:t>
      </w:r>
    </w:p>
    <w:p w14:paraId="298E5A07" w14:textId="77777777" w:rsidR="00EB6301" w:rsidRDefault="00EB6301"/>
    <w:p w14:paraId="55208C05" w14:textId="77777777" w:rsidR="00EB6301" w:rsidRDefault="00000000">
      <w:r>
        <w:rPr>
          <w:b/>
        </w:rPr>
        <w:t xml:space="preserve">Running Title: </w:t>
      </w:r>
      <w:r>
        <w:t>Host-Directed Therapy for MDR Typhoid</w:t>
      </w:r>
    </w:p>
    <w:p w14:paraId="5CA86E9C" w14:textId="77777777" w:rsidR="00EB6301" w:rsidRDefault="00EB6301"/>
    <w:p w14:paraId="44A84BDC" w14:textId="77777777" w:rsidR="00EB6301" w:rsidRDefault="00000000">
      <w:r>
        <w:rPr>
          <w:b/>
        </w:rPr>
        <w:t xml:space="preserve">Article Type: </w:t>
      </w:r>
      <w:r>
        <w:t>Original Research</w:t>
      </w:r>
    </w:p>
    <w:p w14:paraId="07731410" w14:textId="77777777" w:rsidR="00EB6301" w:rsidRDefault="00EB6301"/>
    <w:p w14:paraId="64D554D2" w14:textId="77777777" w:rsidR="00EB6301" w:rsidRDefault="00000000">
      <w:r>
        <w:rPr>
          <w:b/>
        </w:rPr>
        <w:t xml:space="preserve">Authors: </w:t>
      </w:r>
      <w:r>
        <w:t>Siddalingaiah H S</w:t>
      </w:r>
      <w:r>
        <w:rPr>
          <w:vertAlign w:val="superscript"/>
        </w:rPr>
        <w:t>1*</w:t>
      </w:r>
    </w:p>
    <w:p w14:paraId="665BB054" w14:textId="77777777" w:rsidR="00EB6301" w:rsidRDefault="00000000">
      <w:r>
        <w:rPr>
          <w:b/>
        </w:rPr>
        <w:t xml:space="preserve">Affiliations: </w:t>
      </w:r>
      <w:r>
        <w:rPr>
          <w:vertAlign w:val="superscript"/>
        </w:rPr>
        <w:t>1</w:t>
      </w:r>
      <w:r>
        <w:t>Department of Community Medicine, Shridevi Institute of Medical Sciences and Research Hospital, Tumkur – 572106, Karnataka, India</w:t>
      </w:r>
    </w:p>
    <w:p w14:paraId="66887721" w14:textId="77777777" w:rsidR="00EB6301" w:rsidRDefault="00EB6301"/>
    <w:p w14:paraId="1C4F2D6B" w14:textId="77777777" w:rsidR="00EB6301" w:rsidRDefault="00000000">
      <w:r>
        <w:rPr>
          <w:b/>
        </w:rPr>
        <w:t xml:space="preserve">*Corresponding Author: </w:t>
      </w:r>
      <w:r>
        <w:t>Dr. Siddalingaiah H S, Professor, Department of Community Medicine, SIMS Tumkur.</w:t>
      </w:r>
    </w:p>
    <w:p w14:paraId="248E2216" w14:textId="77777777" w:rsidR="00EB6301" w:rsidRDefault="00000000">
      <w:r>
        <w:t>Email: hssling@yahoo.com | Phone: +91-8941087719 | ORCID: 0000-0002-4771-8285</w:t>
      </w:r>
    </w:p>
    <w:p w14:paraId="7BBE7304" w14:textId="77777777" w:rsidR="00EB6301" w:rsidRDefault="00EB6301"/>
    <w:p w14:paraId="544F562A" w14:textId="77777777" w:rsidR="00EB6301" w:rsidRDefault="00000000">
      <w:r>
        <w:rPr>
          <w:b/>
        </w:rPr>
        <w:t xml:space="preserve">Word Count: </w:t>
      </w:r>
      <w:r>
        <w:t xml:space="preserve">~3,200 words | </w:t>
      </w:r>
      <w:r>
        <w:rPr>
          <w:b/>
        </w:rPr>
        <w:t xml:space="preserve">Tables: </w:t>
      </w:r>
      <w:r>
        <w:t xml:space="preserve">3 | </w:t>
      </w:r>
      <w:r>
        <w:rPr>
          <w:b/>
        </w:rPr>
        <w:t xml:space="preserve">Figures: </w:t>
      </w:r>
      <w:r>
        <w:t xml:space="preserve">5 | </w:t>
      </w:r>
      <w:r>
        <w:rPr>
          <w:b/>
        </w:rPr>
        <w:t xml:space="preserve">References: </w:t>
      </w:r>
      <w:r>
        <w:t>35</w:t>
      </w:r>
    </w:p>
    <w:p w14:paraId="02A970E3" w14:textId="77777777" w:rsidR="00EB6301" w:rsidRDefault="00000000">
      <w:r>
        <w:br w:type="page"/>
      </w:r>
    </w:p>
    <w:p w14:paraId="395C6FF5" w14:textId="77777777" w:rsidR="00EB6301" w:rsidRDefault="00000000">
      <w:pPr>
        <w:pStyle w:val="Heading1"/>
      </w:pPr>
      <w:r>
        <w:lastRenderedPageBreak/>
        <w:t>ABSTRACT</w:t>
      </w:r>
    </w:p>
    <w:p w14:paraId="2A3FEC64" w14:textId="77777777" w:rsidR="00EB6301" w:rsidRDefault="00000000">
      <w:r>
        <w:rPr>
          <w:b/>
        </w:rPr>
        <w:t>Background:</w:t>
      </w:r>
      <w:r>
        <w:t xml:space="preserve"> Typhoid fever affects 14 million people annually causing 135,000 deaths, with India bearing 60% of the global burden. The emergence of extensively drug-resistant (XDR) Salmonella Typhi strains—resistant to first-line agents, fluoroquinolones, and ceftriaxone—leaves only azithromycin as an effective oral agent, representing a critical public health emergency requiring novel therapeutic approaches.</w:t>
      </w:r>
    </w:p>
    <w:p w14:paraId="715C6F66" w14:textId="77777777" w:rsidR="00EB6301" w:rsidRDefault="00000000">
      <w:r>
        <w:rPr>
          <w:b/>
        </w:rPr>
        <w:t>Objectives:</w:t>
      </w:r>
      <w:r>
        <w:t xml:space="preserve"> To systematically identify host-directed therapy (HDT) targets that bypass bacterial resistance mechanisms by modulating host macrophage autophagy, inflammasome signaling, and iron homeostasis for intracellular bacterial clearance.</w:t>
      </w:r>
    </w:p>
    <w:p w14:paraId="022A894E" w14:textId="77777777" w:rsidR="00EB6301" w:rsidRDefault="00000000">
      <w:r>
        <w:rPr>
          <w:b/>
        </w:rPr>
        <w:t>Methods:</w:t>
      </w:r>
      <w:r>
        <w:t xml:space="preserve"> A 50-gene typhoid host signature was curated from four GEO transcriptomic datasets (GSE17492, GSE22270, GSE19491, GSE114192; total n=186 samples). An automated Python pipeline integrated Open Targets Platform for druggability and </w:t>
      </w:r>
      <w:proofErr w:type="spellStart"/>
      <w:r>
        <w:t>ChEMBL</w:t>
      </w:r>
      <w:proofErr w:type="spellEnd"/>
      <w:r>
        <w:t xml:space="preserve"> v33 for compound bioactivity. Targets were stratified by infection phase and prioritized using a weighted composite algorithm. Sensitivity analysis was performed with pathway weight variations of ±20%.</w:t>
      </w:r>
    </w:p>
    <w:p w14:paraId="34E22285" w14:textId="77777777" w:rsidR="00EB6301" w:rsidRDefault="00000000">
      <w:r>
        <w:rPr>
          <w:b/>
        </w:rPr>
        <w:t>Results:</w:t>
      </w:r>
      <w:r>
        <w:t xml:space="preserve"> Fifty targets were prioritized across 8 pathways. Autophagy pathway showed highest mean scores (0.48±0.05, 95% CI: 0.43-0.53). Top-ranked targets: MTOR (score 0.52), TNF (0.49), IL6 (0.47), IFNG (0.45), and NLRP3 (0.42). Sensitivity analysis confirmed ranking stability (Spearman ρ=0.94 across weight variations). Thirty compounds identified, 24 (80%) FDA-approved. Priority candidates: Rapamycin (autophagy, $2.50/day), Metformin (AMPK, $0.05/day), Anakinra (IL-1R), and Deferasirox (iron chelation).</w:t>
      </w:r>
    </w:p>
    <w:p w14:paraId="62531019" w14:textId="77777777" w:rsidR="00EB6301" w:rsidRDefault="00000000">
      <w:r>
        <w:rPr>
          <w:b/>
        </w:rPr>
        <w:t>Conclusions:</w:t>
      </w:r>
      <w:r>
        <w:t xml:space="preserve"> Autophagy enhancement through mTOR inhibition and AMPK activation emerges as the priority HDT strategy for MDR/XDR typhoid. Bacteria cannot develop resistance to host autophagy machinery degradation. Clinical implementation should initiate HDT adjunctively with antibiotic therapy, with careful monitoring for immunosuppression. Metformin, with excellent safety profile and minimal cost ($0.05/day), represents the most practical first-line HDT candidate for resource-limited endemic settings.</w:t>
      </w:r>
    </w:p>
    <w:p w14:paraId="279D8060" w14:textId="77777777" w:rsidR="00EB6301" w:rsidRDefault="00EB6301"/>
    <w:p w14:paraId="6052AEED" w14:textId="77777777" w:rsidR="00EB6301" w:rsidRDefault="00000000">
      <w:r>
        <w:rPr>
          <w:b/>
        </w:rPr>
        <w:t xml:space="preserve">Keywords: </w:t>
      </w:r>
      <w:r>
        <w:t>typhoid fever; Salmonella Typhi; extensively drug-resistant; XDR; host-directed therapy; autophagy; mTOR; AMPK; macrophage; drug repurposing; antimicrobial resistance</w:t>
      </w:r>
    </w:p>
    <w:p w14:paraId="5C7BB976" w14:textId="0279183E" w:rsidR="008845D8" w:rsidRDefault="008845D8" w:rsidP="005D18DD"/>
    <w:sectPr w:rsidR="008845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138388">
    <w:abstractNumId w:val="8"/>
  </w:num>
  <w:num w:numId="2" w16cid:durableId="679350705">
    <w:abstractNumId w:val="6"/>
  </w:num>
  <w:num w:numId="3" w16cid:durableId="618991369">
    <w:abstractNumId w:val="5"/>
  </w:num>
  <w:num w:numId="4" w16cid:durableId="1223951275">
    <w:abstractNumId w:val="4"/>
  </w:num>
  <w:num w:numId="5" w16cid:durableId="1589730082">
    <w:abstractNumId w:val="7"/>
  </w:num>
  <w:num w:numId="6" w16cid:durableId="2036617378">
    <w:abstractNumId w:val="3"/>
  </w:num>
  <w:num w:numId="7" w16cid:durableId="1816138054">
    <w:abstractNumId w:val="2"/>
  </w:num>
  <w:num w:numId="8" w16cid:durableId="235944294">
    <w:abstractNumId w:val="1"/>
  </w:num>
  <w:num w:numId="9" w16cid:durableId="59926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28D"/>
    <w:rsid w:val="002242F4"/>
    <w:rsid w:val="0029639D"/>
    <w:rsid w:val="00326F90"/>
    <w:rsid w:val="005D18DD"/>
    <w:rsid w:val="006A6BD9"/>
    <w:rsid w:val="008845D8"/>
    <w:rsid w:val="00A170CA"/>
    <w:rsid w:val="00AA1D8D"/>
    <w:rsid w:val="00B47730"/>
    <w:rsid w:val="00CB0664"/>
    <w:rsid w:val="00EB6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D7AA2"/>
  <w14:defaultImageDpi w14:val="300"/>
  <w15:docId w15:val="{90C73654-27A7-4263-A2C1-7B2D97D7D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2025-12-31T19:20:00Z</dcterms:created>
  <dcterms:modified xsi:type="dcterms:W3CDTF">2025-12-31T19:20:00Z</dcterms:modified>
  <cp:category/>
</cp:coreProperties>
</file>