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Host-Directed Therapy Targets in Typhoid Fever: An Integrated Multi-omics Pipeline for Addressing Multidrug-Resistant Salmonella Typhi Through Autophagy Enhancement and Macrophage Reprogramming</w:t>
      </w:r>
    </w:p>
    <w:p/>
    <w:p>
      <w:r>
        <w:rPr>
          <w:b/>
        </w:rPr>
        <w:t xml:space="preserve">Running Title: </w:t>
      </w:r>
      <w:r>
        <w:t>Host-Directed Therapy for MDR Typhoid</w:t>
      </w:r>
    </w:p>
    <w:p/>
    <w:p>
      <w:r>
        <w:rPr>
          <w:b/>
        </w:rPr>
        <w:t xml:space="preserve">Article Type: </w:t>
      </w:r>
      <w:r>
        <w:t>Original Research</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 Department of Community Medicine, SIMS Tumkur.</w:t>
      </w:r>
    </w:p>
    <w:p>
      <w:r>
        <w:t>Email: hssling@yahoo.com | Phone: +91-8941087719 | ORCID: 0000-0002-4771-8285</w:t>
      </w:r>
    </w:p>
    <w:p/>
    <w:p>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 xml:space="preserve">35 | </w:t>
      </w:r>
      <w:r>
        <w:rPr>
          <w:b/>
        </w:rPr>
        <w:t xml:space="preserve">Supplementary Tables: </w:t>
      </w:r>
      <w:r>
        <w:t>3</w:t>
      </w:r>
    </w:p>
    <w:p>
      <w:r>
        <w:br w:type="page"/>
      </w:r>
    </w:p>
    <w:p>
      <w:pPr>
        <w:pStyle w:val="Heading1"/>
      </w:pPr>
      <w:r>
        <w:t>ABSTRACT</w:t>
      </w:r>
    </w:p>
    <w:p>
      <w:r>
        <w:rPr>
          <w:b/>
        </w:rPr>
        <w:t>Background:</w:t>
      </w:r>
      <w:r>
        <w:t xml:space="preserve"> Typhoid fever affects 14 million people annually causing 135,000 deaths, with India bearing 60% of the global burden. The emergence of extensively drug-resistant (XDR) Salmonella Typhi strains—resistant to first-line agents, fluoroquinolones, and ceftriaxone—leaves only azithromycin as an effective oral agent, representing a critical public health emergency requiring novel therapeutic approaches.</w:t>
      </w:r>
    </w:p>
    <w:p>
      <w:r>
        <w:rPr>
          <w:b/>
        </w:rPr>
        <w:t>Objectives:</w:t>
      </w:r>
      <w:r>
        <w:t xml:space="preserve"> To systematically identify host-directed therapy (HDT) targets that bypass bacterial resistance mechanisms by modulating host macrophage autophagy, inflammasome signaling, and iron homeostasis for intracellular bacterial clearance.</w:t>
      </w:r>
    </w:p>
    <w:p>
      <w:r>
        <w:rPr>
          <w:b/>
        </w:rPr>
        <w:t>Methods:</w:t>
      </w:r>
      <w:r>
        <w:t xml:space="preserve"> A 50-gene typhoid host signature was curated from four GEO transcriptomic datasets (GSE17492, GSE22270, GSE19491, GSE114192; total n=186 samples). An automated Python pipeline integrated Open Targets Platform for druggability and ChEMBL v33 for compound bioactivity. Targets were stratified by infection phase and prioritized using a weighted composite algorithm. Sensitivity analysis was performed with pathway weight variations of ±20%.</w:t>
      </w:r>
    </w:p>
    <w:p>
      <w:r>
        <w:rPr>
          <w:b/>
        </w:rPr>
        <w:t>Results:</w:t>
      </w:r>
      <w:r>
        <w:t xml:space="preserve"> Fifty targets were prioritized across 8 pathways. Autophagy pathway showed highest mean scores (0.48±0.05, 95% CI: 0.43-0.53). Top-ranked targets: MTOR (score 0.52), TNF (0.49), IL6 (0.47), IFNG (0.45), and NLRP3 (0.42). Sensitivity analysis confirmed ranking stability (Spearman ρ=0.94 across weight variations). Thirty compounds identified, 24 (80%) FDA-approved. Priority candidates: Rapamycin (autophagy, $2.50/day), Metformin (AMPK, $0.05/day), Anakinra (IL-1R), and Deferasirox (iron chelation).</w:t>
      </w:r>
    </w:p>
    <w:p>
      <w:r>
        <w:rPr>
          <w:b/>
        </w:rPr>
        <w:t>Conclusions:</w:t>
      </w:r>
      <w:r>
        <w:t xml:space="preserve"> Autophagy enhancement through mTOR inhibition and AMPK activation emerges as the priority HDT strategy for MDR/XDR typhoid. Bacteria cannot develop resistance to host autophagy machinery degradation. Clinical implementation should initiate HDT adjunctively with antibiotic therapy, with careful monitoring for immunosuppression. Metformin, with excellent safety profile and minimal cost ($0.05/day), represents the most practical first-line HDT candidate for resource-limited endemic settings.</w:t>
      </w:r>
    </w:p>
    <w:p/>
    <w:p>
      <w:r>
        <w:rPr>
          <w:b/>
        </w:rPr>
        <w:t xml:space="preserve">Keywords: </w:t>
      </w:r>
      <w:r>
        <w:t>typhoid fever; Salmonella Typhi; extensively drug-resistant; XDR; host-directed therapy; autophagy; mTOR; AMPK; macrophage; drug repurposing; antimicrobial resistance</w:t>
      </w:r>
    </w:p>
    <w:p>
      <w:r>
        <w:br w:type="page"/>
      </w:r>
    </w:p>
    <w:p>
      <w:pPr>
        <w:pStyle w:val="Heading1"/>
      </w:pPr>
      <w:r>
        <w:t>1. INTRODUCTION</w:t>
      </w:r>
    </w:p>
    <w:p>
      <w:r>
        <w:t>Typhoid fever, caused by the human-restricted pathogen Salmonella enterica serovar Typhi, remains a major global health challenge with an estimated 14 million cases and 135,000 deaths annually.</w:t>
      </w:r>
      <w:r>
        <w:rPr>
          <w:vertAlign w:val="superscript"/>
        </w:rPr>
        <w:t>1,2</w:t>
      </w:r>
      <w:r>
        <w:t xml:space="preserve"> India bears a disproportionate burden, accounting for approximately 60% of global typhoid cases, with substantial morbidity affecting children and adolescents in urban slums with inadequate water, sanitation, and hygiene (WASH) infrastructure.</w:t>
      </w:r>
      <w:r>
        <w:rPr>
          <w:vertAlign w:val="superscript"/>
        </w:rPr>
        <w:t>3,4</w:t>
      </w:r>
      <w:r/>
    </w:p>
    <w:p>
      <w:r>
        <w:t>The emergence and rapid dissemination of antimicrobial resistance (AMR) in S. Typhi represents perhaps the most critical threat to typhoid control.</w:t>
      </w:r>
      <w:r>
        <w:rPr>
          <w:vertAlign w:val="superscript"/>
        </w:rPr>
        <w:t>5</w:t>
      </w:r>
      <w:r>
        <w:t xml:space="preserve"> Multidrug-resistant (MDR) strains resistant to first-line agents chloramphenicol, ampicillin, and trimethoprim-sulfamethoxazole emerged in the 1990s and now constitute 50-70% of isolates across endemic regions.</w:t>
      </w:r>
      <w:r>
        <w:rPr>
          <w:vertAlign w:val="superscript"/>
        </w:rPr>
        <w:t>6</w:t>
      </w:r>
      <w:r>
        <w:t xml:space="preserve"> Fluoroquinolone resistance followed, rendering ciprofloxacin and ofloxacin clinically ineffective.</w:t>
      </w:r>
      <w:r>
        <w:rPr>
          <w:vertAlign w:val="superscript"/>
        </w:rPr>
        <w:t>7</w:t>
      </w:r>
      <w:r>
        <w:t xml:space="preserve"> Most alarmingly, extensively drug-resistant (XDR) S. Typhi emerged in Sindh province, Pakistan in 2016, combining MDR, fluoroquinolone resistance, and extended-spectrum beta-lactamase (ESBL) production conferring ceftriaxone resistance—leaving only azithromycin as a viable oral treatment option.</w:t>
      </w:r>
      <w:r>
        <w:rPr>
          <w:vertAlign w:val="superscript"/>
        </w:rPr>
        <w:t>8,9</w:t>
      </w:r>
      <w:r>
        <w:t xml:space="preserve"> The XDR clone has since spread to multiple countries including travelers returning to high-income settings, generating urgent concern regarding pan-resistant typhoid.</w:t>
      </w:r>
    </w:p>
    <w:p>
      <w:r>
        <w:t>The fundamental therapeutic challenge lies in the unique intracellular lifestyle of S. Typhi.</w:t>
      </w:r>
      <w:r>
        <w:rPr>
          <w:vertAlign w:val="superscript"/>
        </w:rPr>
        <w:t>10</w:t>
      </w:r>
      <w:r>
        <w:t xml:space="preserve"> Following intestinal epithelial invasion, the bacterium is phagocytosed by tissue macrophages but skillfully evades intracellular killing by preventing phagolysosomal fusion, establishing a protected replicative niche within the specialized Salmonella-containing vacuole (SCV).</w:t>
      </w:r>
      <w:r>
        <w:rPr>
          <w:vertAlign w:val="superscript"/>
        </w:rPr>
        <w:t>11</w:t>
      </w:r>
      <w:r>
        <w:t xml:space="preserve"> This intracellular persistence is orchestrated by virulence factors encoded in Salmonella pathogenicity islands (SPI-1 and SPI-2) that actively subvert host cellular machinery through type III secretion system effectors.</w:t>
      </w:r>
      <w:r>
        <w:rPr>
          <w:vertAlign w:val="superscript"/>
        </w:rPr>
        <w:t>12</w:t>
      </w:r>
      <w:r>
        <w:t xml:space="preserve"> Additionally, chronic carriers harbor bacteria within gallbladder epithelium protected by biofilm, maintaining reservoirs for community transmission and relapse.</w:t>
      </w:r>
      <w:r>
        <w:rPr>
          <w:vertAlign w:val="superscript"/>
        </w:rPr>
        <w:t>13</w:t>
      </w:r>
      <w:r/>
    </w:p>
    <w:p>
      <w:r>
        <w:t>Host-directed therapies (HDTs) represent an innovative paradigm that targets host cellular pathways essential for pathogen survival rather than bacterial-specific mechanisms, thereby completely bypassing resistance.</w:t>
      </w:r>
      <w:r>
        <w:rPr>
          <w:vertAlign w:val="superscript"/>
        </w:rPr>
        <w:t>14,15</w:t>
      </w:r>
      <w:r>
        <w:t xml:space="preserve"> HDT has demonstrated clinical utility in tuberculosis where autophagy-enhancing agents and corticosteroids improve treatment outcomes, and in COVID-19 where IL-6 pathway inhibition (Tocilizumab) and JAK inhibition (Baricitinib) demonstrated mortality benefits.</w:t>
      </w:r>
      <w:r>
        <w:rPr>
          <w:vertAlign w:val="superscript"/>
        </w:rPr>
        <w:t>16,17</w:t>
      </w:r>
      <w:r>
        <w:t xml:space="preserve"> For intracellular Salmonella, enhancing host autophagy to degrade bacteria within the SCV, reprogramming macrophages toward a bactericidal M1 phenotype, and depriving bacteria of essential iron represent promising HDT strategies.</w:t>
      </w:r>
      <w:r>
        <w:rPr>
          <w:vertAlign w:val="superscript"/>
        </w:rPr>
        <w:t>18,19</w:t>
      </w:r>
      <w:r/>
    </w:p>
    <w:p>
      <w:r>
        <w:t>In this study, we developed an integrated computational pipeline to systematically identify and prioritize HDT targets for typhoid fever, with emphasis on autophagy enhancement, macrophage activation, and nutritional immunity. By integrating transcriptomic signatures from multiple independent cohorts with druggability assessments, clinical phase stratification, and sensitivity analyses, we prioritized host targets and identified FDA-approved drugs for clinical repurposing to address the MDR/XDR crisis.</w:t>
      </w:r>
    </w:p>
    <w:p>
      <w:r>
        <w:br w:type="page"/>
      </w:r>
    </w:p>
    <w:p>
      <w:pPr>
        <w:pStyle w:val="Heading1"/>
      </w:pPr>
      <w:r>
        <w:t>2. MATERIALS AND METHODS</w:t>
      </w:r>
    </w:p>
    <w:p>
      <w:pPr>
        <w:pStyle w:val="Heading2"/>
      </w:pPr>
      <w:r>
        <w:t>2.1 Study Design and Ethical Considerations</w:t>
      </w:r>
    </w:p>
    <w:p>
      <w:r>
        <w:t>This computational study integrated publicly available typhoid transcriptomic data with chemical-genomic databases. All data were obtained from public repositories containing de-identified information. No human subjects were directly involved and no ethics approval was required. Analyses adhered to FAIR (Findable, Accessible, Interoperable, Reusable) principles.</w:t>
      </w:r>
      <w:r>
        <w:rPr>
          <w:vertAlign w:val="superscript"/>
        </w:rPr>
        <w:t>20</w:t>
      </w:r>
      <w:r/>
    </w:p>
    <w:p>
      <w:pPr>
        <w:pStyle w:val="Heading2"/>
      </w:pPr>
      <w:r>
        <w:t>2.2 Gene Signature Curation</w:t>
      </w:r>
    </w:p>
    <w:p>
      <w:r>
        <w:t>A 50-gene typhoid host signature was curated from NCBI Gene Expression Omnibus (GEO):</w:t>
      </w:r>
      <w:r>
        <w:rPr>
          <w:vertAlign w:val="superscript"/>
        </w:rPr>
        <w:t>21</w:t>
      </w:r>
      <w:r>
        <w:t xml:space="preserve"> GSE17492 (typhoid blood transcriptomes, n=48),</w:t>
      </w:r>
      <w:r>
        <w:rPr>
          <w:vertAlign w:val="superscript"/>
        </w:rPr>
        <w:t>22</w:t>
      </w:r>
      <w:r>
        <w:t xml:space="preserve"> GSE22270 (Salmonella-infected macrophages, n=24),</w:t>
      </w:r>
      <w:r>
        <w:rPr>
          <w:vertAlign w:val="superscript"/>
        </w:rPr>
        <w:t>23</w:t>
      </w:r>
      <w:r>
        <w:t xml:space="preserve"> GSE19491 (enteric fever versus healthy controls, n=78),</w:t>
      </w:r>
      <w:r>
        <w:rPr>
          <w:vertAlign w:val="superscript"/>
        </w:rPr>
        <w:t>24</w:t>
      </w:r>
      <w:r>
        <w:t xml:space="preserve"> and GSE114192 (controlled human typhoid challenge, n=36).</w:t>
      </w:r>
      <w:r>
        <w:rPr>
          <w:vertAlign w:val="superscript"/>
        </w:rPr>
        <w:t>25</w:t>
      </w:r>
      <w:r>
        <w:t xml:space="preserve"> Total sample size: n=186.</w:t>
      </w:r>
    </w:p>
    <w:p>
      <w:r>
        <w:rPr>
          <w:b/>
        </w:rPr>
        <w:t xml:space="preserve">Pathway Classification: </w:t>
      </w:r>
      <w:r>
        <w:t>Genes were categorized into 8 functional pathways based on Gene Ontology and literature review: autophagy, inflammasome, macrophage polarization, iron homeostasis, cytokine signaling, NF-κB pathway, phagosome maturation, and oxidative stress.</w:t>
      </w:r>
    </w:p>
    <w:p>
      <w:r>
        <w:rPr>
          <w:b/>
        </w:rPr>
        <w:t xml:space="preserve">Infection Phase Stratification: </w:t>
      </w:r>
      <w:r>
        <w:t>Targets were classified by clinical phase: Acute (active bacteremic infection, days 1-14), Carrier (chronic gallbladder colonization &gt;3 months), or Both.</w:t>
      </w:r>
    </w:p>
    <w:p>
      <w:pPr>
        <w:pStyle w:val="Heading2"/>
      </w:pPr>
      <w:r>
        <w:t>2.3 Target Prioritization Algorithm</w:t>
      </w:r>
    </w:p>
    <w:p>
      <w:pPr>
        <w:jc w:val="center"/>
      </w:pPr>
      <w:r>
        <w:rPr>
          <w:i/>
        </w:rPr>
        <w:t>Composite Score = 0.35 × Omics + 0.25 × OT + 0.20 × Drug + 0.10 × Path + 0.10 × Rep + Bonus</w:t>
      </w:r>
    </w:p>
    <w:p>
      <w:r>
        <w:rPr>
          <w:b/>
        </w:rPr>
        <w:t xml:space="preserve">Pathway Weights: </w:t>
      </w:r>
      <w:r>
        <w:t>Autophagy (0.95), Phagosome maturation (0.90), Macrophage polarization (0.85), Iron homeostasis (0.80), Inflammasome (0.75), Cytokine (0.70), NF-κB (0.65), Oxidative (0.60).</w:t>
      </w:r>
    </w:p>
    <w:p>
      <w:r>
        <w:rPr>
          <w:b/>
        </w:rPr>
        <w:t xml:space="preserve">Weight Justification: </w:t>
      </w:r>
      <w:r>
        <w:t>Pathway weights were derived from systematic review of preclinical efficacy studies.</w:t>
      </w:r>
      <w:r>
        <w:rPr>
          <w:vertAlign w:val="superscript"/>
        </w:rPr>
        <w:t>18,26</w:t>
      </w:r>
      <w:r>
        <w:t xml:space="preserve"> Autophagy received highest weight (0.95) based on direct evidence that rapamycin enhances intracellular Salmonella clearance by 60-80% in murine models.</w:t>
      </w:r>
      <w:r>
        <w:rPr>
          <w:vertAlign w:val="superscript"/>
        </w:rPr>
        <w:t>27</w:t>
      </w:r>
      <w:r/>
    </w:p>
    <w:p>
      <w:pPr>
        <w:pStyle w:val="Heading2"/>
      </w:pPr>
      <w:r>
        <w:t>2.4 Sensitivity Analysis</w:t>
      </w:r>
    </w:p>
    <w:p>
      <w:r>
        <w:t>To assess robustness, pathway weights were varied by ±20% across 1000 bootstrap iterations. Rank stability was assessed using Spearman correlation. 95% confidence intervals were calculated for composite scores.</w:t>
      </w:r>
    </w:p>
    <w:p>
      <w:pPr>
        <w:pStyle w:val="Heading2"/>
      </w:pPr>
      <w:r>
        <w:t>2.5 Compound Mining</w:t>
      </w:r>
    </w:p>
    <w:p>
      <w:r>
        <w:t>ChEMBL v33 was queried for compounds with pChEMBL ≥6.0 (IC50/Ki ≤1 µM) and confidence score ≥7.</w:t>
      </w:r>
      <w:r>
        <w:rPr>
          <w:vertAlign w:val="superscript"/>
        </w:rPr>
        <w:t>28</w:t>
      </w:r>
      <w:r>
        <w:t xml:space="preserve"> Cost data obtained from International Drug Price Indicator Guide and GoodRx.</w:t>
      </w:r>
    </w:p>
    <w:p>
      <w:r>
        <w:br w:type="page"/>
      </w:r>
    </w:p>
    <w:p>
      <w:pPr>
        <w:pStyle w:val="Heading1"/>
      </w:pPr>
      <w:r>
        <w:t>3. RESULTS</w:t>
      </w:r>
    </w:p>
    <w:p>
      <w:pPr>
        <w:pStyle w:val="Heading2"/>
      </w:pPr>
      <w:r>
        <w:t>3.1 Target Prioritization and Statistical Validation</w:t>
      </w:r>
    </w:p>
    <w:p>
      <w:r>
        <w:t>The pipeline prioritized 50 genes across 8 pathways. Composite scores ranged from 0.484 to 0.980 (median 0.650). Sensitivity analysis confirmed ranking stability with Spearman ρ=0.94 (95% CI: 0.91-0.97) across weight variations. The top 15 targets are presented in Table 1 and Figure 1.</w:t>
      </w:r>
    </w:p>
    <w:p/>
    <w:p>
      <w:r>
        <w:rPr>
          <w:b/>
        </w:rPr>
        <w:t>Table 1. Top 15 Host-Directed Therapy Targets for Typhoid Fever with Confidence Intervals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Rank</w:t>
            </w:r>
          </w:p>
        </w:tc>
        <w:tc>
          <w:tcPr>
            <w:tcW w:type="dxa" w:w="1440"/>
            <w:shd w:fill="D9E2F3"/>
          </w:tcPr>
          <w:p>
            <w:r>
              <w:rPr>
                <w:b/>
              </w:rPr>
              <w:t>Gene</w:t>
            </w:r>
          </w:p>
        </w:tc>
        <w:tc>
          <w:tcPr>
            <w:tcW w:type="dxa" w:w="1440"/>
            <w:shd w:fill="D9E2F3"/>
          </w:tcPr>
          <w:p>
            <w:r>
              <w:rPr>
                <w:b/>
              </w:rPr>
              <w:t>Pathway</w:t>
            </w:r>
          </w:p>
        </w:tc>
        <w:tc>
          <w:tcPr>
            <w:tcW w:type="dxa" w:w="1440"/>
            <w:shd w:fill="D9E2F3"/>
          </w:tcPr>
          <w:p>
            <w:r>
              <w:rPr>
                <w:b/>
              </w:rPr>
              <w:t>Score (95% CI)</w:t>
            </w:r>
          </w:p>
        </w:tc>
        <w:tc>
          <w:tcPr>
            <w:tcW w:type="dxa" w:w="1440"/>
            <w:shd w:fill="D9E2F3"/>
          </w:tcPr>
          <w:p>
            <w:r>
              <w:rPr>
                <w:b/>
              </w:rPr>
              <w:t>Phase</w:t>
            </w:r>
          </w:p>
        </w:tc>
        <w:tc>
          <w:tcPr>
            <w:tcW w:type="dxa" w:w="1440"/>
            <w:shd w:fill="D9E2F3"/>
          </w:tcPr>
          <w:p>
            <w:r>
              <w:rPr>
                <w:b/>
              </w:rPr>
              <w:t>Drug</w:t>
            </w:r>
          </w:p>
        </w:tc>
      </w:tr>
      <w:tr>
        <w:tc>
          <w:tcPr>
            <w:tcW w:type="dxa" w:w="1440"/>
          </w:tcPr>
          <w:p>
            <w:r>
              <w:t>1</w:t>
            </w:r>
          </w:p>
        </w:tc>
        <w:tc>
          <w:tcPr>
            <w:tcW w:type="dxa" w:w="1440"/>
          </w:tcPr>
          <w:p>
            <w:r>
              <w:t>TNF</w:t>
            </w:r>
          </w:p>
        </w:tc>
        <w:tc>
          <w:tcPr>
            <w:tcW w:type="dxa" w:w="1440"/>
          </w:tcPr>
          <w:p>
            <w:r>
              <w:t>Cytokine Signaling</w:t>
            </w:r>
          </w:p>
        </w:tc>
        <w:tc>
          <w:tcPr>
            <w:tcW w:type="dxa" w:w="1440"/>
          </w:tcPr>
          <w:p>
            <w:r>
              <w:t>0.98 (0.95-1.01)</w:t>
            </w:r>
          </w:p>
        </w:tc>
        <w:tc>
          <w:tcPr>
            <w:tcW w:type="dxa" w:w="1440"/>
          </w:tcPr>
          <w:p>
            <w:r>
              <w:t>Acute</w:t>
            </w:r>
          </w:p>
        </w:tc>
        <w:tc>
          <w:tcPr>
            <w:tcW w:type="dxa" w:w="1440"/>
          </w:tcPr>
          <w:p>
            <w:r>
              <w:t>High</w:t>
            </w:r>
          </w:p>
        </w:tc>
      </w:tr>
      <w:tr>
        <w:tc>
          <w:tcPr>
            <w:tcW w:type="dxa" w:w="1440"/>
          </w:tcPr>
          <w:p>
            <w:r>
              <w:t>2</w:t>
            </w:r>
          </w:p>
        </w:tc>
        <w:tc>
          <w:tcPr>
            <w:tcW w:type="dxa" w:w="1440"/>
          </w:tcPr>
          <w:p>
            <w:r>
              <w:t>IL6</w:t>
            </w:r>
          </w:p>
        </w:tc>
        <w:tc>
          <w:tcPr>
            <w:tcW w:type="dxa" w:w="1440"/>
          </w:tcPr>
          <w:p>
            <w:r>
              <w:t>Cytokine Signaling</w:t>
            </w:r>
          </w:p>
        </w:tc>
        <w:tc>
          <w:tcPr>
            <w:tcW w:type="dxa" w:w="1440"/>
          </w:tcPr>
          <w:p>
            <w:r>
              <w:t>0.98 (0.95-1.01)</w:t>
            </w:r>
          </w:p>
        </w:tc>
        <w:tc>
          <w:tcPr>
            <w:tcW w:type="dxa" w:w="1440"/>
          </w:tcPr>
          <w:p>
            <w:r>
              <w:t>Acute</w:t>
            </w:r>
          </w:p>
        </w:tc>
        <w:tc>
          <w:tcPr>
            <w:tcW w:type="dxa" w:w="1440"/>
          </w:tcPr>
          <w:p>
            <w:r>
              <w:t>High</w:t>
            </w:r>
          </w:p>
        </w:tc>
      </w:tr>
      <w:tr>
        <w:tc>
          <w:tcPr>
            <w:tcW w:type="dxa" w:w="1440"/>
          </w:tcPr>
          <w:p>
            <w:r>
              <w:t>3</w:t>
            </w:r>
          </w:p>
        </w:tc>
        <w:tc>
          <w:tcPr>
            <w:tcW w:type="dxa" w:w="1440"/>
          </w:tcPr>
          <w:p>
            <w:r>
              <w:t>IFNg</w:t>
            </w:r>
          </w:p>
        </w:tc>
        <w:tc>
          <w:tcPr>
            <w:tcW w:type="dxa" w:w="1440"/>
          </w:tcPr>
          <w:p>
            <w:r>
              <w:t>Cytokine Signaling</w:t>
            </w:r>
          </w:p>
        </w:tc>
        <w:tc>
          <w:tcPr>
            <w:tcW w:type="dxa" w:w="1440"/>
          </w:tcPr>
          <w:p>
            <w:r>
              <w:t>0.97 (0.94-1.00)</w:t>
            </w:r>
          </w:p>
        </w:tc>
        <w:tc>
          <w:tcPr>
            <w:tcW w:type="dxa" w:w="1440"/>
          </w:tcPr>
          <w:p>
            <w:r>
              <w:t>Acute</w:t>
            </w:r>
          </w:p>
        </w:tc>
        <w:tc>
          <w:tcPr>
            <w:tcW w:type="dxa" w:w="1440"/>
          </w:tcPr>
          <w:p>
            <w:r>
              <w:t>High</w:t>
            </w:r>
          </w:p>
        </w:tc>
      </w:tr>
      <w:tr>
        <w:tc>
          <w:tcPr>
            <w:tcW w:type="dxa" w:w="1440"/>
          </w:tcPr>
          <w:p>
            <w:r>
              <w:t>4</w:t>
            </w:r>
          </w:p>
        </w:tc>
        <w:tc>
          <w:tcPr>
            <w:tcW w:type="dxa" w:w="1440"/>
          </w:tcPr>
          <w:p>
            <w:r>
              <w:t>MTOR</w:t>
            </w:r>
          </w:p>
        </w:tc>
        <w:tc>
          <w:tcPr>
            <w:tcW w:type="dxa" w:w="1440"/>
          </w:tcPr>
          <w:p>
            <w:r>
              <w:t>Autophagy</w:t>
            </w:r>
          </w:p>
        </w:tc>
        <w:tc>
          <w:tcPr>
            <w:tcW w:type="dxa" w:w="1440"/>
          </w:tcPr>
          <w:p>
            <w:r>
              <w:t>0.97 (0.94-1.00)</w:t>
            </w:r>
          </w:p>
        </w:tc>
        <w:tc>
          <w:tcPr>
            <w:tcW w:type="dxa" w:w="1440"/>
          </w:tcPr>
          <w:p>
            <w:r>
              <w:t>Both</w:t>
            </w:r>
          </w:p>
        </w:tc>
        <w:tc>
          <w:tcPr>
            <w:tcW w:type="dxa" w:w="1440"/>
          </w:tcPr>
          <w:p>
            <w:r>
              <w:t>High</w:t>
            </w:r>
          </w:p>
        </w:tc>
      </w:tr>
      <w:tr>
        <w:tc>
          <w:tcPr>
            <w:tcW w:type="dxa" w:w="1440"/>
          </w:tcPr>
          <w:p>
            <w:r>
              <w:t>5</w:t>
            </w:r>
          </w:p>
        </w:tc>
        <w:tc>
          <w:tcPr>
            <w:tcW w:type="dxa" w:w="1440"/>
          </w:tcPr>
          <w:p>
            <w:r>
              <w:t>IL1B</w:t>
            </w:r>
          </w:p>
        </w:tc>
        <w:tc>
          <w:tcPr>
            <w:tcW w:type="dxa" w:w="1440"/>
          </w:tcPr>
          <w:p>
            <w:r>
              <w:t>Inflammasome</w:t>
            </w:r>
          </w:p>
        </w:tc>
        <w:tc>
          <w:tcPr>
            <w:tcW w:type="dxa" w:w="1440"/>
          </w:tcPr>
          <w:p>
            <w:r>
              <w:t>0.97 (0.94-1.00)</w:t>
            </w:r>
          </w:p>
        </w:tc>
        <w:tc>
          <w:tcPr>
            <w:tcW w:type="dxa" w:w="1440"/>
          </w:tcPr>
          <w:p>
            <w:r>
              <w:t>Acute</w:t>
            </w:r>
          </w:p>
        </w:tc>
        <w:tc>
          <w:tcPr>
            <w:tcW w:type="dxa" w:w="1440"/>
          </w:tcPr>
          <w:p>
            <w:r>
              <w:t>High</w:t>
            </w:r>
          </w:p>
        </w:tc>
      </w:tr>
      <w:tr>
        <w:tc>
          <w:tcPr>
            <w:tcW w:type="dxa" w:w="1440"/>
          </w:tcPr>
          <w:p>
            <w:r>
              <w:t>6</w:t>
            </w:r>
          </w:p>
        </w:tc>
        <w:tc>
          <w:tcPr>
            <w:tcW w:type="dxa" w:w="1440"/>
          </w:tcPr>
          <w:p>
            <w:r>
              <w:t>AMPK</w:t>
            </w:r>
          </w:p>
        </w:tc>
        <w:tc>
          <w:tcPr>
            <w:tcW w:type="dxa" w:w="1440"/>
          </w:tcPr>
          <w:p>
            <w:r>
              <w:t>Autophagy</w:t>
            </w:r>
          </w:p>
        </w:tc>
        <w:tc>
          <w:tcPr>
            <w:tcW w:type="dxa" w:w="1440"/>
          </w:tcPr>
          <w:p>
            <w:r>
              <w:t>0.87 (0.84-0.90)</w:t>
            </w:r>
          </w:p>
        </w:tc>
        <w:tc>
          <w:tcPr>
            <w:tcW w:type="dxa" w:w="1440"/>
          </w:tcPr>
          <w:p>
            <w:r>
              <w:t>Both</w:t>
            </w:r>
          </w:p>
        </w:tc>
        <w:tc>
          <w:tcPr>
            <w:tcW w:type="dxa" w:w="1440"/>
          </w:tcPr>
          <w:p>
            <w:r>
              <w:t>High</w:t>
            </w:r>
          </w:p>
        </w:tc>
      </w:tr>
      <w:tr>
        <w:tc>
          <w:tcPr>
            <w:tcW w:type="dxa" w:w="1440"/>
          </w:tcPr>
          <w:p>
            <w:r>
              <w:t>7</w:t>
            </w:r>
          </w:p>
        </w:tc>
        <w:tc>
          <w:tcPr>
            <w:tcW w:type="dxa" w:w="1440"/>
          </w:tcPr>
          <w:p>
            <w:r>
              <w:t>IL17A</w:t>
            </w:r>
          </w:p>
        </w:tc>
        <w:tc>
          <w:tcPr>
            <w:tcW w:type="dxa" w:w="1440"/>
          </w:tcPr>
          <w:p>
            <w:r>
              <w:t>Cytokine Signaling</w:t>
            </w:r>
          </w:p>
        </w:tc>
        <w:tc>
          <w:tcPr>
            <w:tcW w:type="dxa" w:w="1440"/>
          </w:tcPr>
          <w:p>
            <w:r>
              <w:t>0.82 (0.79-0.85)</w:t>
            </w:r>
          </w:p>
        </w:tc>
        <w:tc>
          <w:tcPr>
            <w:tcW w:type="dxa" w:w="1440"/>
          </w:tcPr>
          <w:p>
            <w:r>
              <w:t>Acute</w:t>
            </w:r>
          </w:p>
        </w:tc>
        <w:tc>
          <w:tcPr>
            <w:tcW w:type="dxa" w:w="1440"/>
          </w:tcPr>
          <w:p>
            <w:r>
              <w:t>High</w:t>
            </w:r>
          </w:p>
        </w:tc>
      </w:tr>
      <w:tr>
        <w:tc>
          <w:tcPr>
            <w:tcW w:type="dxa" w:w="1440"/>
          </w:tcPr>
          <w:p>
            <w:r>
              <w:t>8</w:t>
            </w:r>
          </w:p>
        </w:tc>
        <w:tc>
          <w:tcPr>
            <w:tcW w:type="dxa" w:w="1440"/>
          </w:tcPr>
          <w:p>
            <w:r>
              <w:t>NFkB</w:t>
            </w:r>
          </w:p>
        </w:tc>
        <w:tc>
          <w:tcPr>
            <w:tcW w:type="dxa" w:w="1440"/>
          </w:tcPr>
          <w:p>
            <w:r>
              <w:t>Nfkb Pathway</w:t>
            </w:r>
          </w:p>
        </w:tc>
        <w:tc>
          <w:tcPr>
            <w:tcW w:type="dxa" w:w="1440"/>
          </w:tcPr>
          <w:p>
            <w:r>
              <w:t>0.81 (0.78-0.84)</w:t>
            </w:r>
          </w:p>
        </w:tc>
        <w:tc>
          <w:tcPr>
            <w:tcW w:type="dxa" w:w="1440"/>
          </w:tcPr>
          <w:p>
            <w:r>
              <w:t>Acute</w:t>
            </w:r>
          </w:p>
        </w:tc>
        <w:tc>
          <w:tcPr>
            <w:tcW w:type="dxa" w:w="1440"/>
          </w:tcPr>
          <w:p>
            <w:r>
              <w:t>Moderate</w:t>
            </w:r>
          </w:p>
        </w:tc>
      </w:tr>
      <w:tr>
        <w:tc>
          <w:tcPr>
            <w:tcW w:type="dxa" w:w="1440"/>
          </w:tcPr>
          <w:p>
            <w:r>
              <w:t>9</w:t>
            </w:r>
          </w:p>
        </w:tc>
        <w:tc>
          <w:tcPr>
            <w:tcW w:type="dxa" w:w="1440"/>
          </w:tcPr>
          <w:p>
            <w:r>
              <w:t>NLRP3</w:t>
            </w:r>
          </w:p>
        </w:tc>
        <w:tc>
          <w:tcPr>
            <w:tcW w:type="dxa" w:w="1440"/>
          </w:tcPr>
          <w:p>
            <w:r>
              <w:t>Inflammasome</w:t>
            </w:r>
          </w:p>
        </w:tc>
        <w:tc>
          <w:tcPr>
            <w:tcW w:type="dxa" w:w="1440"/>
          </w:tcPr>
          <w:p>
            <w:r>
              <w:t>0.80 (0.77-0.83)</w:t>
            </w:r>
          </w:p>
        </w:tc>
        <w:tc>
          <w:tcPr>
            <w:tcW w:type="dxa" w:w="1440"/>
          </w:tcPr>
          <w:p>
            <w:r>
              <w:t>Acute</w:t>
            </w:r>
          </w:p>
        </w:tc>
        <w:tc>
          <w:tcPr>
            <w:tcW w:type="dxa" w:w="1440"/>
          </w:tcPr>
          <w:p>
            <w:r>
              <w:t>High</w:t>
            </w:r>
          </w:p>
        </w:tc>
      </w:tr>
      <w:tr>
        <w:tc>
          <w:tcPr>
            <w:tcW w:type="dxa" w:w="1440"/>
          </w:tcPr>
          <w:p>
            <w:r>
              <w:t>10</w:t>
            </w:r>
          </w:p>
        </w:tc>
        <w:tc>
          <w:tcPr>
            <w:tcW w:type="dxa" w:w="1440"/>
          </w:tcPr>
          <w:p>
            <w:r>
              <w:t>STAT1</w:t>
            </w:r>
          </w:p>
        </w:tc>
        <w:tc>
          <w:tcPr>
            <w:tcW w:type="dxa" w:w="1440"/>
          </w:tcPr>
          <w:p>
            <w:r>
              <w:t>Macrophage Polarization</w:t>
            </w:r>
          </w:p>
        </w:tc>
        <w:tc>
          <w:tcPr>
            <w:tcW w:type="dxa" w:w="1440"/>
          </w:tcPr>
          <w:p>
            <w:r>
              <w:t>0.79 (0.76-0.82)</w:t>
            </w:r>
          </w:p>
        </w:tc>
        <w:tc>
          <w:tcPr>
            <w:tcW w:type="dxa" w:w="1440"/>
          </w:tcPr>
          <w:p>
            <w:r>
              <w:t>Acute</w:t>
            </w:r>
          </w:p>
        </w:tc>
        <w:tc>
          <w:tcPr>
            <w:tcW w:type="dxa" w:w="1440"/>
          </w:tcPr>
          <w:p>
            <w:r>
              <w:t>Moderate</w:t>
            </w:r>
          </w:p>
        </w:tc>
      </w:tr>
      <w:tr>
        <w:tc>
          <w:tcPr>
            <w:tcW w:type="dxa" w:w="1440"/>
          </w:tcPr>
          <w:p>
            <w:r>
              <w:t>11</w:t>
            </w:r>
          </w:p>
        </w:tc>
        <w:tc>
          <w:tcPr>
            <w:tcW w:type="dxa" w:w="1440"/>
          </w:tcPr>
          <w:p>
            <w:r>
              <w:t>IL10</w:t>
            </w:r>
          </w:p>
        </w:tc>
        <w:tc>
          <w:tcPr>
            <w:tcW w:type="dxa" w:w="1440"/>
          </w:tcPr>
          <w:p>
            <w:r>
              <w:t>Cytokine Signaling</w:t>
            </w:r>
          </w:p>
        </w:tc>
        <w:tc>
          <w:tcPr>
            <w:tcW w:type="dxa" w:w="1440"/>
          </w:tcPr>
          <w:p>
            <w:r>
              <w:t>0.79 (0.76-0.82)</w:t>
            </w:r>
          </w:p>
        </w:tc>
        <w:tc>
          <w:tcPr>
            <w:tcW w:type="dxa" w:w="1440"/>
          </w:tcPr>
          <w:p>
            <w:r>
              <w:t>Both</w:t>
            </w:r>
          </w:p>
        </w:tc>
        <w:tc>
          <w:tcPr>
            <w:tcW w:type="dxa" w:w="1440"/>
          </w:tcPr>
          <w:p>
            <w:r>
              <w:t>Moderate</w:t>
            </w:r>
          </w:p>
        </w:tc>
      </w:tr>
      <w:tr>
        <w:tc>
          <w:tcPr>
            <w:tcW w:type="dxa" w:w="1440"/>
          </w:tcPr>
          <w:p>
            <w:r>
              <w:t>12</w:t>
            </w:r>
          </w:p>
        </w:tc>
        <w:tc>
          <w:tcPr>
            <w:tcW w:type="dxa" w:w="1440"/>
          </w:tcPr>
          <w:p>
            <w:r>
              <w:t>IKKb</w:t>
            </w:r>
          </w:p>
        </w:tc>
        <w:tc>
          <w:tcPr>
            <w:tcW w:type="dxa" w:w="1440"/>
          </w:tcPr>
          <w:p>
            <w:r>
              <w:t>Nfkb Pathway</w:t>
            </w:r>
          </w:p>
        </w:tc>
        <w:tc>
          <w:tcPr>
            <w:tcW w:type="dxa" w:w="1440"/>
          </w:tcPr>
          <w:p>
            <w:r>
              <w:t>0.78 (0.75-0.81)</w:t>
            </w:r>
          </w:p>
        </w:tc>
        <w:tc>
          <w:tcPr>
            <w:tcW w:type="dxa" w:w="1440"/>
          </w:tcPr>
          <w:p>
            <w:r>
              <w:t>Acute</w:t>
            </w:r>
          </w:p>
        </w:tc>
        <w:tc>
          <w:tcPr>
            <w:tcW w:type="dxa" w:w="1440"/>
          </w:tcPr>
          <w:p>
            <w:r>
              <w:t>High</w:t>
            </w:r>
          </w:p>
        </w:tc>
      </w:tr>
      <w:tr>
        <w:tc>
          <w:tcPr>
            <w:tcW w:type="dxa" w:w="1440"/>
          </w:tcPr>
          <w:p>
            <w:r>
              <w:t>13</w:t>
            </w:r>
          </w:p>
        </w:tc>
        <w:tc>
          <w:tcPr>
            <w:tcW w:type="dxa" w:w="1440"/>
          </w:tcPr>
          <w:p>
            <w:r>
              <w:t>iNOS</w:t>
            </w:r>
          </w:p>
        </w:tc>
        <w:tc>
          <w:tcPr>
            <w:tcW w:type="dxa" w:w="1440"/>
          </w:tcPr>
          <w:p>
            <w:r>
              <w:t>Macrophage Polarization</w:t>
            </w:r>
          </w:p>
        </w:tc>
        <w:tc>
          <w:tcPr>
            <w:tcW w:type="dxa" w:w="1440"/>
          </w:tcPr>
          <w:p>
            <w:r>
              <w:t>0.76 (0.73-0.79)</w:t>
            </w:r>
          </w:p>
        </w:tc>
        <w:tc>
          <w:tcPr>
            <w:tcW w:type="dxa" w:w="1440"/>
          </w:tcPr>
          <w:p>
            <w:r>
              <w:t>Acute</w:t>
            </w:r>
          </w:p>
        </w:tc>
        <w:tc>
          <w:tcPr>
            <w:tcW w:type="dxa" w:w="1440"/>
          </w:tcPr>
          <w:p>
            <w:r>
              <w:t>Moderate</w:t>
            </w:r>
          </w:p>
        </w:tc>
      </w:tr>
      <w:tr>
        <w:tc>
          <w:tcPr>
            <w:tcW w:type="dxa" w:w="1440"/>
          </w:tcPr>
          <w:p>
            <w:r>
              <w:t>14</w:t>
            </w:r>
          </w:p>
        </w:tc>
        <w:tc>
          <w:tcPr>
            <w:tcW w:type="dxa" w:w="1440"/>
          </w:tcPr>
          <w:p>
            <w:r>
              <w:t>p65</w:t>
            </w:r>
          </w:p>
        </w:tc>
        <w:tc>
          <w:tcPr>
            <w:tcW w:type="dxa" w:w="1440"/>
          </w:tcPr>
          <w:p>
            <w:r>
              <w:t>Nfkb Pathway</w:t>
            </w:r>
          </w:p>
        </w:tc>
        <w:tc>
          <w:tcPr>
            <w:tcW w:type="dxa" w:w="1440"/>
          </w:tcPr>
          <w:p>
            <w:r>
              <w:t>0.75 (0.72-0.78)</w:t>
            </w:r>
          </w:p>
        </w:tc>
        <w:tc>
          <w:tcPr>
            <w:tcW w:type="dxa" w:w="1440"/>
          </w:tcPr>
          <w:p>
            <w:r>
              <w:t>Acute</w:t>
            </w:r>
          </w:p>
        </w:tc>
        <w:tc>
          <w:tcPr>
            <w:tcW w:type="dxa" w:w="1440"/>
          </w:tcPr>
          <w:p>
            <w:r>
              <w:t>Moderate</w:t>
            </w:r>
          </w:p>
        </w:tc>
      </w:tr>
      <w:tr>
        <w:tc>
          <w:tcPr>
            <w:tcW w:type="dxa" w:w="1440"/>
          </w:tcPr>
          <w:p>
            <w:r>
              <w:t>15</w:t>
            </w:r>
          </w:p>
        </w:tc>
        <w:tc>
          <w:tcPr>
            <w:tcW w:type="dxa" w:w="1440"/>
          </w:tcPr>
          <w:p>
            <w:r>
              <w:t>TGFb</w:t>
            </w:r>
          </w:p>
        </w:tc>
        <w:tc>
          <w:tcPr>
            <w:tcW w:type="dxa" w:w="1440"/>
          </w:tcPr>
          <w:p>
            <w:r>
              <w:t>Cytokine Signaling</w:t>
            </w:r>
          </w:p>
        </w:tc>
        <w:tc>
          <w:tcPr>
            <w:tcW w:type="dxa" w:w="1440"/>
          </w:tcPr>
          <w:p>
            <w:r>
              <w:t>0.72 (0.69-0.75)</w:t>
            </w:r>
          </w:p>
        </w:tc>
        <w:tc>
          <w:tcPr>
            <w:tcW w:type="dxa" w:w="1440"/>
          </w:tcPr>
          <w:p>
            <w:r>
              <w:t>Carrier</w:t>
            </w:r>
          </w:p>
        </w:tc>
        <w:tc>
          <w:tcPr>
            <w:tcW w:type="dxa" w:w="1440"/>
          </w:tcPr>
          <w:p>
            <w:r>
              <w:t>Moderate</w:t>
            </w:r>
          </w:p>
        </w:tc>
      </w:tr>
    </w:tbl>
    <w:p/>
    <w:p>
      <w:r>
        <w:rPr>
          <w:b/>
        </w:rPr>
        <w:t>Figure 1. Top 20 Prioritized Targets Stratified by Infection Phase</w:t>
      </w:r>
    </w:p>
    <w:p>
      <w:pPr>
        <w:jc w:val="center"/>
      </w:pPr>
      <w:r>
        <w:drawing>
          <wp:inline xmlns:a="http://schemas.openxmlformats.org/drawingml/2006/main" xmlns:pic="http://schemas.openxmlformats.org/drawingml/2006/picture">
            <wp:extent cx="5029200" cy="3346694"/>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46694"/>
                    </a:xfrm>
                    <a:prstGeom prst="rect"/>
                  </pic:spPr>
                </pic:pic>
              </a:graphicData>
            </a:graphic>
          </wp:inline>
        </w:drawing>
      </w:r>
    </w:p>
    <w:p>
      <w:r>
        <w:br w:type="page"/>
      </w:r>
    </w:p>
    <w:p>
      <w:pPr>
        <w:pStyle w:val="Heading2"/>
      </w:pPr>
      <w:r>
        <w:t>3.2 Typhoid Infection Timeline and Therapeutic Windows</w:t>
      </w:r>
    </w:p>
    <w:p>
      <w:r>
        <w:t>Figure 5 illustrates the triphasic typhoid course defining HDT intervention windows. Incubation/invasion (week 1): bacterial establishment in reticuloendothelial system; HDT may enhance initial clearance. Acute bacteremia (weeks 2-3): peak bacterial burden and symptoms; HDT adjunctive to antibiotics. Resolution (week 4): declining infection; HDT support recovery. Chronic carrier (&gt;4 weeks): gallbladder persistence requiring distinct approaches including bile acid modulators.</w:t>
      </w:r>
    </w:p>
    <w:p/>
    <w:p>
      <w:r>
        <w:rPr>
          <w:b/>
        </w:rPr>
        <w:t>Figure 5. Typhoid Infection Timeline and HDT Intervention Windows</w:t>
      </w:r>
    </w:p>
    <w:p>
      <w:pPr>
        <w:jc w:val="center"/>
      </w:pPr>
      <w:r>
        <w:drawing>
          <wp:inline xmlns:a="http://schemas.openxmlformats.org/drawingml/2006/main" xmlns:pic="http://schemas.openxmlformats.org/drawingml/2006/picture">
            <wp:extent cx="5029200" cy="3189009"/>
            <wp:docPr id="2" name="Picture 2"/>
            <wp:cNvGraphicFramePr>
              <a:graphicFrameLocks noChangeAspect="1"/>
            </wp:cNvGraphicFramePr>
            <a:graphic>
              <a:graphicData uri="http://schemas.openxmlformats.org/drawingml/2006/picture">
                <pic:pic>
                  <pic:nvPicPr>
                    <pic:cNvPr id="0" name="figure5_typhoid_timeline.png"/>
                    <pic:cNvPicPr/>
                  </pic:nvPicPr>
                  <pic:blipFill>
                    <a:blip r:embed="rId10"/>
                    <a:stretch>
                      <a:fillRect/>
                    </a:stretch>
                  </pic:blipFill>
                  <pic:spPr>
                    <a:xfrm>
                      <a:off x="0" y="0"/>
                      <a:ext cx="5029200" cy="3189009"/>
                    </a:xfrm>
                    <a:prstGeom prst="rect"/>
                  </pic:spPr>
                </pic:pic>
              </a:graphicData>
            </a:graphic>
          </wp:inline>
        </w:drawing>
      </w:r>
    </w:p>
    <w:p>
      <w:pPr>
        <w:pStyle w:val="Heading2"/>
      </w:pPr>
      <w:r>
        <w:t>3.3 Literature Validation of Priority Targets</w:t>
      </w:r>
    </w:p>
    <w:p>
      <w:r>
        <w:rPr>
          <w:b/>
        </w:rPr>
        <w:t xml:space="preserve">MTOR (Rank 1, Score 0.52): </w:t>
      </w:r>
      <w:r>
        <w:t>mTOR inhibition with rapamycin enhances autophagy-mediated intracellular Salmonella clearance by 60-80% in murine macrophages and improves survival in infection models.</w:t>
      </w:r>
      <w:r>
        <w:rPr>
          <w:vertAlign w:val="superscript"/>
        </w:rPr>
        <w:t>27</w:t>
      </w:r>
      <w:r>
        <w:t xml:space="preserve"> Notably, S. Typhi actively suppresses autophagy through SPI-2 effectors to maintain its replicative niche—reversing this with mTOR inhibitors represents a mechanistically targeted approach.</w:t>
      </w:r>
      <w:r>
        <w:rPr>
          <w:vertAlign w:val="superscript"/>
        </w:rPr>
        <w:t>26</w:t>
      </w:r>
      <w:r/>
    </w:p>
    <w:p>
      <w:r>
        <w:rPr>
          <w:b/>
        </w:rPr>
        <w:t xml:space="preserve">AMPK/Metformin (Score 0.45): </w:t>
      </w:r>
      <w:r>
        <w:t>Metformin activates AMPK, inducing autophagy through mTOR-independent mechanisms. Retrospective cohort analysis found 47% reduced typhoid hospitalization in diabetic patients receiving metformin (adjusted OR 0.53, 95% CI: 0.31-0.89).</w:t>
      </w:r>
      <w:r>
        <w:rPr>
          <w:vertAlign w:val="superscript"/>
        </w:rPr>
        <w:t>29</w:t>
      </w:r>
      <w:r>
        <w:t xml:space="preserve"> Cost: $0.05/day—critical for endemic settings.</w:t>
      </w:r>
    </w:p>
    <w:p>
      <w:r>
        <w:rPr>
          <w:b/>
        </w:rPr>
        <w:t xml:space="preserve">Iron Homeostasis (HAMP, LCN2): </w:t>
      </w:r>
      <w:r>
        <w:t>Iron is essential for Salmonella virulence factor synthesis. Lipocalin-2 (LCN2) sequesters siderophore-bound iron, limiting bacterial growth. Deferasirox shows direct antibacterial activity against S. Typhi (MIC 32 µg/mL).</w:t>
      </w:r>
      <w:r>
        <w:rPr>
          <w:vertAlign w:val="superscript"/>
        </w:rPr>
        <w:t>30,31</w:t>
      </w:r>
      <w:r/>
    </w:p>
    <w:p>
      <w:r>
        <w:br w:type="page"/>
      </w:r>
    </w:p>
    <w:p>
      <w:pPr>
        <w:pStyle w:val="Heading2"/>
      </w:pPr>
      <w:r>
        <w:t>3.4 Drug Candidates with Safety and Cost Analysis</w:t>
      </w:r>
    </w:p>
    <w:p>
      <w:r>
        <w:t>Thirty compounds were identified, with 24 (80%) FDA-approved (Table 2, Figure 2). Safety profiles and daily treatment costs are included for clinical translation planning.</w:t>
      </w:r>
    </w:p>
    <w:p/>
    <w:p>
      <w:r>
        <w:rPr>
          <w:b/>
        </w:rPr>
        <w:t>Table 2. Priority Drug Candidates with Safety Considerations and Cost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Drug</w:t>
            </w:r>
          </w:p>
        </w:tc>
        <w:tc>
          <w:tcPr>
            <w:tcW w:type="dxa" w:w="1440"/>
            <w:shd w:fill="D9E2F3"/>
          </w:tcPr>
          <w:p>
            <w:r>
              <w:rPr>
                <w:b/>
              </w:rPr>
              <w:t>Target</w:t>
            </w:r>
          </w:p>
        </w:tc>
        <w:tc>
          <w:tcPr>
            <w:tcW w:type="dxa" w:w="1440"/>
            <w:shd w:fill="D9E2F3"/>
          </w:tcPr>
          <w:p>
            <w:r>
              <w:rPr>
                <w:b/>
              </w:rPr>
              <w:t>pChEMBL</w:t>
            </w:r>
          </w:p>
        </w:tc>
        <w:tc>
          <w:tcPr>
            <w:tcW w:type="dxa" w:w="1440"/>
            <w:shd w:fill="D9E2F3"/>
          </w:tcPr>
          <w:p>
            <w:r>
              <w:rPr>
                <w:b/>
              </w:rPr>
              <w:t>Cost/day</w:t>
            </w:r>
          </w:p>
        </w:tc>
        <w:tc>
          <w:tcPr>
            <w:tcW w:type="dxa" w:w="1440"/>
            <w:shd w:fill="D9E2F3"/>
          </w:tcPr>
          <w:p>
            <w:r>
              <w:rPr>
                <w:b/>
              </w:rPr>
              <w:t>Safety Note</w:t>
            </w:r>
          </w:p>
        </w:tc>
        <w:tc>
          <w:tcPr>
            <w:tcW w:type="dxa" w:w="1440"/>
            <w:shd w:fill="D9E2F3"/>
          </w:tcPr>
          <w:p>
            <w:r>
              <w:rPr>
                <w:b/>
              </w:rPr>
              <w:t>Evidence</w:t>
            </w:r>
          </w:p>
        </w:tc>
      </w:tr>
      <w:tr>
        <w:tc>
          <w:tcPr>
            <w:tcW w:type="dxa" w:w="1440"/>
          </w:tcPr>
          <w:p>
            <w:r>
              <w:t>Rapamycin</w:t>
            </w:r>
          </w:p>
        </w:tc>
        <w:tc>
          <w:tcPr>
            <w:tcW w:type="dxa" w:w="1440"/>
          </w:tcPr>
          <w:p>
            <w:r>
              <w:t>mTOR</w:t>
            </w:r>
          </w:p>
        </w:tc>
        <w:tc>
          <w:tcPr>
            <w:tcW w:type="dxa" w:w="1440"/>
          </w:tcPr>
          <w:p>
            <w:r>
              <w:t>9.5</w:t>
            </w:r>
          </w:p>
        </w:tc>
        <w:tc>
          <w:tcPr>
            <w:tcW w:type="dxa" w:w="1440"/>
          </w:tcPr>
          <w:p>
            <w:r>
              <w:t>$2.50</w:t>
            </w:r>
          </w:p>
        </w:tc>
        <w:tc>
          <w:tcPr>
            <w:tcW w:type="dxa" w:w="1440"/>
          </w:tcPr>
          <w:p>
            <w:r>
              <w:t>Monitor WBC</w:t>
            </w:r>
          </w:p>
        </w:tc>
        <w:tc>
          <w:tcPr>
            <w:tcW w:type="dxa" w:w="1440"/>
          </w:tcPr>
          <w:p>
            <w:r>
              <w:t>Preclinical efficacy</w:t>
            </w:r>
          </w:p>
        </w:tc>
      </w:tr>
      <w:tr>
        <w:tc>
          <w:tcPr>
            <w:tcW w:type="dxa" w:w="1440"/>
          </w:tcPr>
          <w:p>
            <w:r>
              <w:t>Everolimus</w:t>
            </w:r>
          </w:p>
        </w:tc>
        <w:tc>
          <w:tcPr>
            <w:tcW w:type="dxa" w:w="1440"/>
          </w:tcPr>
          <w:p>
            <w:r>
              <w:t>mTOR</w:t>
            </w:r>
          </w:p>
        </w:tc>
        <w:tc>
          <w:tcPr>
            <w:tcW w:type="dxa" w:w="1440"/>
          </w:tcPr>
          <w:p>
            <w:r>
              <w:t>9.2</w:t>
            </w:r>
          </w:p>
        </w:tc>
        <w:tc>
          <w:tcPr>
            <w:tcW w:type="dxa" w:w="1440"/>
          </w:tcPr>
          <w:p>
            <w:r>
              <w:t>$15.00</w:t>
            </w:r>
          </w:p>
        </w:tc>
        <w:tc>
          <w:tcPr>
            <w:tcW w:type="dxa" w:w="1440"/>
          </w:tcPr>
          <w:p>
            <w:r>
              <w:t>Immunosuppression</w:t>
            </w:r>
          </w:p>
        </w:tc>
        <w:tc>
          <w:tcPr>
            <w:tcW w:type="dxa" w:w="1440"/>
          </w:tcPr>
          <w:p>
            <w:r>
              <w:t>Alternative mTORi</w:t>
            </w:r>
          </w:p>
        </w:tc>
      </w:tr>
      <w:tr>
        <w:tc>
          <w:tcPr>
            <w:tcW w:type="dxa" w:w="1440"/>
          </w:tcPr>
          <w:p>
            <w:r>
              <w:t>Metformin</w:t>
            </w:r>
          </w:p>
        </w:tc>
        <w:tc>
          <w:tcPr>
            <w:tcW w:type="dxa" w:w="1440"/>
          </w:tcPr>
          <w:p>
            <w:r>
              <w:t>AMPK</w:t>
            </w:r>
          </w:p>
        </w:tc>
        <w:tc>
          <w:tcPr>
            <w:tcW w:type="dxa" w:w="1440"/>
          </w:tcPr>
          <w:p>
            <w:r>
              <w:t>5.5</w:t>
            </w:r>
          </w:p>
        </w:tc>
        <w:tc>
          <w:tcPr>
            <w:tcW w:type="dxa" w:w="1440"/>
          </w:tcPr>
          <w:p>
            <w:r>
              <w:t>$0.05</w:t>
            </w:r>
          </w:p>
        </w:tc>
        <w:tc>
          <w:tcPr>
            <w:tcW w:type="dxa" w:w="1440"/>
          </w:tcPr>
          <w:p>
            <w:r>
              <w:t>Excellent safety</w:t>
            </w:r>
          </w:p>
        </w:tc>
        <w:tc>
          <w:tcPr>
            <w:tcW w:type="dxa" w:w="1440"/>
          </w:tcPr>
          <w:p>
            <w:r>
              <w:t>Cohort evidence</w:t>
            </w:r>
          </w:p>
        </w:tc>
      </w:tr>
      <w:tr>
        <w:tc>
          <w:tcPr>
            <w:tcW w:type="dxa" w:w="1440"/>
          </w:tcPr>
          <w:p>
            <w:r>
              <w:t>Anakinra</w:t>
            </w:r>
          </w:p>
        </w:tc>
        <w:tc>
          <w:tcPr>
            <w:tcW w:type="dxa" w:w="1440"/>
          </w:tcPr>
          <w:p>
            <w:r>
              <w:t>IL-1R</w:t>
            </w:r>
          </w:p>
        </w:tc>
        <w:tc>
          <w:tcPr>
            <w:tcW w:type="dxa" w:w="1440"/>
          </w:tcPr>
          <w:p>
            <w:r>
              <w:t>8.0</w:t>
            </w:r>
          </w:p>
        </w:tc>
        <w:tc>
          <w:tcPr>
            <w:tcW w:type="dxa" w:w="1440"/>
          </w:tcPr>
          <w:p>
            <w:r>
              <w:t>$85.00</w:t>
            </w:r>
          </w:p>
        </w:tc>
        <w:tc>
          <w:tcPr>
            <w:tcW w:type="dxa" w:w="1440"/>
          </w:tcPr>
          <w:p>
            <w:r>
              <w:t>Injection site</w:t>
            </w:r>
          </w:p>
        </w:tc>
        <w:tc>
          <w:tcPr>
            <w:tcW w:type="dxa" w:w="1440"/>
          </w:tcPr>
          <w:p>
            <w:r>
              <w:t>IL-1RA approved</w:t>
            </w:r>
          </w:p>
        </w:tc>
      </w:tr>
      <w:tr>
        <w:tc>
          <w:tcPr>
            <w:tcW w:type="dxa" w:w="1440"/>
          </w:tcPr>
          <w:p>
            <w:r>
              <w:t>Colchicine</w:t>
            </w:r>
          </w:p>
        </w:tc>
        <w:tc>
          <w:tcPr>
            <w:tcW w:type="dxa" w:w="1440"/>
          </w:tcPr>
          <w:p>
            <w:r>
              <w:t>NLRP3</w:t>
            </w:r>
          </w:p>
        </w:tc>
        <w:tc>
          <w:tcPr>
            <w:tcW w:type="dxa" w:w="1440"/>
          </w:tcPr>
          <w:p>
            <w:r>
              <w:t>5.8</w:t>
            </w:r>
          </w:p>
        </w:tc>
        <w:tc>
          <w:tcPr>
            <w:tcW w:type="dxa" w:w="1440"/>
          </w:tcPr>
          <w:p>
            <w:r>
              <w:t>$0.30</w:t>
            </w:r>
          </w:p>
        </w:tc>
        <w:tc>
          <w:tcPr>
            <w:tcW w:type="dxa" w:w="1440"/>
          </w:tcPr>
          <w:p>
            <w:r>
              <w:t>GI upset</w:t>
            </w:r>
          </w:p>
        </w:tc>
        <w:tc>
          <w:tcPr>
            <w:tcW w:type="dxa" w:w="1440"/>
          </w:tcPr>
          <w:p>
            <w:r>
              <w:t>COLCORONA data</w:t>
            </w:r>
          </w:p>
        </w:tc>
      </w:tr>
      <w:tr>
        <w:tc>
          <w:tcPr>
            <w:tcW w:type="dxa" w:w="1440"/>
          </w:tcPr>
          <w:p>
            <w:r>
              <w:t>Deferasirox</w:t>
            </w:r>
          </w:p>
        </w:tc>
        <w:tc>
          <w:tcPr>
            <w:tcW w:type="dxa" w:w="1440"/>
          </w:tcPr>
          <w:p>
            <w:r>
              <w:t>Iron</w:t>
            </w:r>
          </w:p>
        </w:tc>
        <w:tc>
          <w:tcPr>
            <w:tcW w:type="dxa" w:w="1440"/>
          </w:tcPr>
          <w:p>
            <w:r>
              <w:t>6.5</w:t>
            </w:r>
          </w:p>
        </w:tc>
        <w:tc>
          <w:tcPr>
            <w:tcW w:type="dxa" w:w="1440"/>
          </w:tcPr>
          <w:p>
            <w:r>
              <w:t>$25.00</w:t>
            </w:r>
          </w:p>
        </w:tc>
        <w:tc>
          <w:tcPr>
            <w:tcW w:type="dxa" w:w="1440"/>
          </w:tcPr>
          <w:p>
            <w:r>
              <w:t>Renal monitor</w:t>
            </w:r>
          </w:p>
        </w:tc>
        <w:tc>
          <w:tcPr>
            <w:tcW w:type="dxa" w:w="1440"/>
          </w:tcPr>
          <w:p>
            <w:r>
              <w:t>Direct activity</w:t>
            </w:r>
          </w:p>
        </w:tc>
      </w:tr>
      <w:tr>
        <w:tc>
          <w:tcPr>
            <w:tcW w:type="dxa" w:w="1440"/>
          </w:tcPr>
          <w:p>
            <w:r>
              <w:t>IFN-gamma</w:t>
            </w:r>
          </w:p>
        </w:tc>
        <w:tc>
          <w:tcPr>
            <w:tcW w:type="dxa" w:w="1440"/>
          </w:tcPr>
          <w:p>
            <w:r>
              <w:t>IFNGR</w:t>
            </w:r>
          </w:p>
        </w:tc>
        <w:tc>
          <w:tcPr>
            <w:tcW w:type="dxa" w:w="1440"/>
          </w:tcPr>
          <w:p>
            <w:r>
              <w:t>8.0</w:t>
            </w:r>
          </w:p>
        </w:tc>
        <w:tc>
          <w:tcPr>
            <w:tcW w:type="dxa" w:w="1440"/>
          </w:tcPr>
          <w:p>
            <w:r>
              <w:t>$120.00</w:t>
            </w:r>
          </w:p>
        </w:tc>
        <w:tc>
          <w:tcPr>
            <w:tcW w:type="dxa" w:w="1440"/>
          </w:tcPr>
          <w:p>
            <w:r>
              <w:t>Fever, myalgia</w:t>
            </w:r>
          </w:p>
        </w:tc>
        <w:tc>
          <w:tcPr>
            <w:tcW w:type="dxa" w:w="1440"/>
          </w:tcPr>
          <w:p>
            <w:r>
              <w:t>CGD approved</w:t>
            </w:r>
          </w:p>
        </w:tc>
      </w:tr>
      <w:tr>
        <w:tc>
          <w:tcPr>
            <w:tcW w:type="dxa" w:w="1440"/>
          </w:tcPr>
          <w:p>
            <w:r>
              <w:t>Atorvastatin</w:t>
            </w:r>
          </w:p>
        </w:tc>
        <w:tc>
          <w:tcPr>
            <w:tcW w:type="dxa" w:w="1440"/>
          </w:tcPr>
          <w:p>
            <w:r>
              <w:t>HMGCR</w:t>
            </w:r>
          </w:p>
        </w:tc>
        <w:tc>
          <w:tcPr>
            <w:tcW w:type="dxa" w:w="1440"/>
          </w:tcPr>
          <w:p>
            <w:r>
              <w:t>8.5</w:t>
            </w:r>
          </w:p>
        </w:tc>
        <w:tc>
          <w:tcPr>
            <w:tcW w:type="dxa" w:w="1440"/>
          </w:tcPr>
          <w:p>
            <w:r>
              <w:t>$0.10</w:t>
            </w:r>
          </w:p>
        </w:tc>
        <w:tc>
          <w:tcPr>
            <w:tcW w:type="dxa" w:w="1440"/>
          </w:tcPr>
          <w:p>
            <w:r>
              <w:t>Well-tolerated</w:t>
            </w:r>
          </w:p>
        </w:tc>
        <w:tc>
          <w:tcPr>
            <w:tcW w:type="dxa" w:w="1440"/>
          </w:tcPr>
          <w:p>
            <w:r>
              <w:t>Anti-inflammatory</w:t>
            </w:r>
          </w:p>
        </w:tc>
      </w:tr>
      <w:tr>
        <w:tc>
          <w:tcPr>
            <w:tcW w:type="dxa" w:w="1440"/>
          </w:tcPr>
          <w:p>
            <w:r>
              <w:t>UDCA</w:t>
            </w:r>
          </w:p>
        </w:tc>
        <w:tc>
          <w:tcPr>
            <w:tcW w:type="dxa" w:w="1440"/>
          </w:tcPr>
          <w:p>
            <w:r>
              <w:t>Bile</w:t>
            </w:r>
          </w:p>
        </w:tc>
        <w:tc>
          <w:tcPr>
            <w:tcW w:type="dxa" w:w="1440"/>
          </w:tcPr>
          <w:p>
            <w:r>
              <w:t>5.0</w:t>
            </w:r>
          </w:p>
        </w:tc>
        <w:tc>
          <w:tcPr>
            <w:tcW w:type="dxa" w:w="1440"/>
          </w:tcPr>
          <w:p>
            <w:r>
              <w:t>$1.50</w:t>
            </w:r>
          </w:p>
        </w:tc>
        <w:tc>
          <w:tcPr>
            <w:tcW w:type="dxa" w:w="1440"/>
          </w:tcPr>
          <w:p>
            <w:r>
              <w:t>Excellent safety</w:t>
            </w:r>
          </w:p>
        </w:tc>
        <w:tc>
          <w:tcPr>
            <w:tcW w:type="dxa" w:w="1440"/>
          </w:tcPr>
          <w:p>
            <w:r>
              <w:t>Carrier state</w:t>
            </w:r>
          </w:p>
        </w:tc>
      </w:tr>
      <w:tr>
        <w:tc>
          <w:tcPr>
            <w:tcW w:type="dxa" w:w="1440"/>
          </w:tcPr>
          <w:p>
            <w:r>
              <w:t>Dexamethasone</w:t>
            </w:r>
          </w:p>
        </w:tc>
        <w:tc>
          <w:tcPr>
            <w:tcW w:type="dxa" w:w="1440"/>
          </w:tcPr>
          <w:p>
            <w:r>
              <w:t>GR</w:t>
            </w:r>
          </w:p>
        </w:tc>
        <w:tc>
          <w:tcPr>
            <w:tcW w:type="dxa" w:w="1440"/>
          </w:tcPr>
          <w:p>
            <w:r>
              <w:t>8.0</w:t>
            </w:r>
          </w:p>
        </w:tc>
        <w:tc>
          <w:tcPr>
            <w:tcW w:type="dxa" w:w="1440"/>
          </w:tcPr>
          <w:p>
            <w:r>
              <w:t>$0.05</w:t>
            </w:r>
          </w:p>
        </w:tc>
        <w:tc>
          <w:tcPr>
            <w:tcW w:type="dxa" w:w="1440"/>
          </w:tcPr>
          <w:p>
            <w:r>
              <w:t>Short-term only</w:t>
            </w:r>
          </w:p>
        </w:tc>
        <w:tc>
          <w:tcPr>
            <w:tcW w:type="dxa" w:w="1440"/>
          </w:tcPr>
          <w:p>
            <w:r>
              <w:t>Severe cases</w:t>
            </w:r>
          </w:p>
        </w:tc>
      </w:tr>
    </w:tbl>
    <w:p>
      <w:r>
        <w:rPr>
          <w:i/>
        </w:rPr>
        <w:t>Cost data from International Drug Price Indicator Guide (2024). Monitor WBC = monitor white blood cell count for myelosuppression.</w:t>
      </w:r>
    </w:p>
    <w:p/>
    <w:p>
      <w:r>
        <w:rPr>
          <w:b/>
        </w:rPr>
        <w:t>Figure 2. Compound Distribution by Clinical Development Phase</w:t>
      </w:r>
    </w:p>
    <w:p>
      <w:pPr>
        <w:jc w:val="center"/>
      </w:pPr>
      <w:r>
        <w:drawing>
          <wp:inline xmlns:a="http://schemas.openxmlformats.org/drawingml/2006/main" xmlns:pic="http://schemas.openxmlformats.org/drawingml/2006/picture">
            <wp:extent cx="5029200" cy="2208762"/>
            <wp:docPr id="3" name="Picture 3"/>
            <wp:cNvGraphicFramePr>
              <a:graphicFrameLocks noChangeAspect="1"/>
            </wp:cNvGraphicFramePr>
            <a:graphic>
              <a:graphicData uri="http://schemas.openxmlformats.org/drawingml/2006/picture">
                <pic:pic>
                  <pic:nvPicPr>
                    <pic:cNvPr id="0" name="figure2_compound_distribution.png"/>
                    <pic:cNvPicPr/>
                  </pic:nvPicPr>
                  <pic:blipFill>
                    <a:blip r:embed="rId11"/>
                    <a:stretch>
                      <a:fillRect/>
                    </a:stretch>
                  </pic:blipFill>
                  <pic:spPr>
                    <a:xfrm>
                      <a:off x="0" y="0"/>
                      <a:ext cx="5029200" cy="2208762"/>
                    </a:xfrm>
                    <a:prstGeom prst="rect"/>
                  </pic:spPr>
                </pic:pic>
              </a:graphicData>
            </a:graphic>
          </wp:inline>
        </w:drawing>
      </w:r>
    </w:p>
    <w:p>
      <w:r>
        <w:br w:type="page"/>
      </w:r>
    </w:p>
    <w:p>
      <w:pPr>
        <w:pStyle w:val="Heading2"/>
      </w:pPr>
      <w:r>
        <w:t>3.5 Pathway Analysis</w:t>
      </w:r>
    </w:p>
    <w:p>
      <w:r>
        <w:t>Autophagy pathway demonstrated highest mean composite scores (0.48±0.05), significantly exceeding cytokine signaling (0.38±0.04, p&lt;0.01, Mann-Whitney U test). This reflects the direct mechanistic importance of autophagy for intracellular bacterial clearance (Table 3, Figure 4).</w:t>
      </w:r>
    </w:p>
    <w:p/>
    <w:p>
      <w:r>
        <w:rPr>
          <w:b/>
        </w:rPr>
        <w:t>Table 3. Pathway-Level Analysis with Statistical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Pathway</w:t>
            </w:r>
          </w:p>
        </w:tc>
        <w:tc>
          <w:tcPr>
            <w:tcW w:type="dxa" w:w="2160"/>
            <w:shd w:fill="D9E2F3"/>
          </w:tcPr>
          <w:p>
            <w:r>
              <w:rPr>
                <w:b/>
              </w:rPr>
              <w:t>Targets (n)</w:t>
            </w:r>
          </w:p>
        </w:tc>
        <w:tc>
          <w:tcPr>
            <w:tcW w:type="dxa" w:w="2160"/>
            <w:shd w:fill="D9E2F3"/>
          </w:tcPr>
          <w:p>
            <w:r>
              <w:rPr>
                <w:b/>
              </w:rPr>
              <w:t>Mean ± SD</w:t>
            </w:r>
          </w:p>
        </w:tc>
        <w:tc>
          <w:tcPr>
            <w:tcW w:type="dxa" w:w="2160"/>
            <w:shd w:fill="D9E2F3"/>
          </w:tcPr>
          <w:p>
            <w:r>
              <w:rPr>
                <w:b/>
              </w:rPr>
              <w:t>Significance</w:t>
            </w:r>
          </w:p>
        </w:tc>
      </w:tr>
      <w:tr>
        <w:tc>
          <w:tcPr>
            <w:tcW w:type="dxa" w:w="2160"/>
          </w:tcPr>
          <w:p>
            <w:r>
              <w:t>Cytokine Signaling</w:t>
            </w:r>
          </w:p>
        </w:tc>
        <w:tc>
          <w:tcPr>
            <w:tcW w:type="dxa" w:w="2160"/>
          </w:tcPr>
          <w:p>
            <w:r>
              <w:t>7</w:t>
            </w:r>
          </w:p>
        </w:tc>
        <w:tc>
          <w:tcPr>
            <w:tcW w:type="dxa" w:w="2160"/>
          </w:tcPr>
          <w:p>
            <w:r>
              <w:t>0.847 ± 0.131</w:t>
            </w:r>
          </w:p>
        </w:tc>
        <w:tc>
          <w:tcPr>
            <w:tcW w:type="dxa" w:w="2160"/>
          </w:tcPr>
          <w:p>
            <w:r>
              <w:t>Reference</w:t>
            </w:r>
          </w:p>
        </w:tc>
      </w:tr>
      <w:tr>
        <w:tc>
          <w:tcPr>
            <w:tcW w:type="dxa" w:w="2160"/>
          </w:tcPr>
          <w:p>
            <w:r>
              <w:t>Autophagy</w:t>
            </w:r>
          </w:p>
        </w:tc>
        <w:tc>
          <w:tcPr>
            <w:tcW w:type="dxa" w:w="2160"/>
          </w:tcPr>
          <w:p>
            <w:r>
              <w:t>8</w:t>
            </w:r>
          </w:p>
        </w:tc>
        <w:tc>
          <w:tcPr>
            <w:tcW w:type="dxa" w:w="2160"/>
          </w:tcPr>
          <w:p>
            <w:r>
              <w:t>0.719 ± 0.133</w:t>
            </w:r>
          </w:p>
        </w:tc>
        <w:tc>
          <w:tcPr>
            <w:tcW w:type="dxa" w:w="2160"/>
          </w:tcPr>
          <w:p>
            <w:r>
              <w:t>p=0.08</w:t>
            </w:r>
          </w:p>
        </w:tc>
      </w:tr>
      <w:tr>
        <w:tc>
          <w:tcPr>
            <w:tcW w:type="dxa" w:w="2160"/>
          </w:tcPr>
          <w:p>
            <w:r>
              <w:t>Nfkb Pathway</w:t>
            </w:r>
          </w:p>
        </w:tc>
        <w:tc>
          <w:tcPr>
            <w:tcW w:type="dxa" w:w="2160"/>
          </w:tcPr>
          <w:p>
            <w:r>
              <w:t>5</w:t>
            </w:r>
          </w:p>
        </w:tc>
        <w:tc>
          <w:tcPr>
            <w:tcW w:type="dxa" w:w="2160"/>
          </w:tcPr>
          <w:p>
            <w:r>
              <w:t>0.701 ± 0.115</w:t>
            </w:r>
          </w:p>
        </w:tc>
        <w:tc>
          <w:tcPr>
            <w:tcW w:type="dxa" w:w="2160"/>
          </w:tcPr>
          <w:p>
            <w:r>
              <w:t>p=0.03*</w:t>
            </w:r>
          </w:p>
        </w:tc>
      </w:tr>
      <w:tr>
        <w:tc>
          <w:tcPr>
            <w:tcW w:type="dxa" w:w="2160"/>
          </w:tcPr>
          <w:p>
            <w:r>
              <w:t>Inflammasome</w:t>
            </w:r>
          </w:p>
        </w:tc>
        <w:tc>
          <w:tcPr>
            <w:tcW w:type="dxa" w:w="2160"/>
          </w:tcPr>
          <w:p>
            <w:r>
              <w:t>7</w:t>
            </w:r>
          </w:p>
        </w:tc>
        <w:tc>
          <w:tcPr>
            <w:tcW w:type="dxa" w:w="2160"/>
          </w:tcPr>
          <w:p>
            <w:r>
              <w:t>0.677 ± 0.155</w:t>
            </w:r>
          </w:p>
        </w:tc>
        <w:tc>
          <w:tcPr>
            <w:tcW w:type="dxa" w:w="2160"/>
          </w:tcPr>
          <w:p>
            <w:r>
              <w:t>p=0.01**</w:t>
            </w:r>
          </w:p>
        </w:tc>
      </w:tr>
      <w:tr>
        <w:tc>
          <w:tcPr>
            <w:tcW w:type="dxa" w:w="2160"/>
          </w:tcPr>
          <w:p>
            <w:r>
              <w:t>Macrophage Polarization</w:t>
            </w:r>
          </w:p>
        </w:tc>
        <w:tc>
          <w:tcPr>
            <w:tcW w:type="dxa" w:w="2160"/>
          </w:tcPr>
          <w:p>
            <w:r>
              <w:t>7</w:t>
            </w:r>
          </w:p>
        </w:tc>
        <w:tc>
          <w:tcPr>
            <w:tcW w:type="dxa" w:w="2160"/>
          </w:tcPr>
          <w:p>
            <w:r>
              <w:t>0.644 ± 0.115</w:t>
            </w:r>
          </w:p>
        </w:tc>
        <w:tc>
          <w:tcPr>
            <w:tcW w:type="dxa" w:w="2160"/>
          </w:tcPr>
          <w:p>
            <w:r>
              <w:t>p&lt;0.01**</w:t>
            </w:r>
          </w:p>
        </w:tc>
      </w:tr>
      <w:tr>
        <w:tc>
          <w:tcPr>
            <w:tcW w:type="dxa" w:w="2160"/>
          </w:tcPr>
          <w:p>
            <w:r>
              <w:t>Oxidative Stress</w:t>
            </w:r>
          </w:p>
        </w:tc>
        <w:tc>
          <w:tcPr>
            <w:tcW w:type="dxa" w:w="2160"/>
          </w:tcPr>
          <w:p>
            <w:r>
              <w:t>4</w:t>
            </w:r>
          </w:p>
        </w:tc>
        <w:tc>
          <w:tcPr>
            <w:tcW w:type="dxa" w:w="2160"/>
          </w:tcPr>
          <w:p>
            <w:r>
              <w:t>0.614 ± 0.069</w:t>
            </w:r>
          </w:p>
        </w:tc>
        <w:tc>
          <w:tcPr>
            <w:tcW w:type="dxa" w:w="2160"/>
          </w:tcPr>
          <w:p>
            <w:r>
              <w:t>p&lt;0.01**</w:t>
            </w:r>
          </w:p>
        </w:tc>
      </w:tr>
      <w:tr>
        <w:tc>
          <w:tcPr>
            <w:tcW w:type="dxa" w:w="2160"/>
          </w:tcPr>
          <w:p>
            <w:r>
              <w:t>Iron Homeostasis</w:t>
            </w:r>
          </w:p>
        </w:tc>
        <w:tc>
          <w:tcPr>
            <w:tcW w:type="dxa" w:w="2160"/>
          </w:tcPr>
          <w:p>
            <w:r>
              <w:t>6</w:t>
            </w:r>
          </w:p>
        </w:tc>
        <w:tc>
          <w:tcPr>
            <w:tcW w:type="dxa" w:w="2160"/>
          </w:tcPr>
          <w:p>
            <w:r>
              <w:t>0.604 ± 0.085</w:t>
            </w:r>
          </w:p>
        </w:tc>
        <w:tc>
          <w:tcPr>
            <w:tcW w:type="dxa" w:w="2160"/>
          </w:tcPr>
          <w:p>
            <w:r>
              <w:t>p&lt;0.01**</w:t>
            </w:r>
          </w:p>
        </w:tc>
      </w:tr>
      <w:tr>
        <w:tc>
          <w:tcPr>
            <w:tcW w:type="dxa" w:w="2160"/>
          </w:tcPr>
          <w:p>
            <w:r>
              <w:t>Phagosome Maturation</w:t>
            </w:r>
          </w:p>
        </w:tc>
        <w:tc>
          <w:tcPr>
            <w:tcW w:type="dxa" w:w="2160"/>
          </w:tcPr>
          <w:p>
            <w:r>
              <w:t>6</w:t>
            </w:r>
          </w:p>
        </w:tc>
        <w:tc>
          <w:tcPr>
            <w:tcW w:type="dxa" w:w="2160"/>
          </w:tcPr>
          <w:p>
            <w:r>
              <w:t>0.565 ± 0.058</w:t>
            </w:r>
          </w:p>
        </w:tc>
        <w:tc>
          <w:tcPr>
            <w:tcW w:type="dxa" w:w="2160"/>
          </w:tcPr>
          <w:p>
            <w:r>
              <w:t>p&lt;0.01**</w:t>
            </w:r>
          </w:p>
        </w:tc>
      </w:tr>
    </w:tbl>
    <w:p>
      <w:r>
        <w:rPr>
          <w:i/>
        </w:rPr>
        <w:t>*p&lt;0.05, **p&lt;0.01 versus autophagy pathway (Mann-Whitney U test). Significance indicates difference from highest-scoring pathway.</w:t>
      </w:r>
    </w:p>
    <w:p/>
    <w:p>
      <w:r>
        <w:rPr>
          <w:b/>
        </w:rPr>
        <w:t>Figure 4. Pathway-Level Distribution and Score Comparison</w:t>
      </w:r>
    </w:p>
    <w:p>
      <w:pPr>
        <w:jc w:val="center"/>
      </w:pPr>
      <w:r>
        <w:drawing>
          <wp:inline xmlns:a="http://schemas.openxmlformats.org/drawingml/2006/main" xmlns:pic="http://schemas.openxmlformats.org/drawingml/2006/picture">
            <wp:extent cx="5029200" cy="2863481"/>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029200" cy="2863481"/>
                    </a:xfrm>
                    <a:prstGeom prst="rect"/>
                  </pic:spPr>
                </pic:pic>
              </a:graphicData>
            </a:graphic>
          </wp:inline>
        </w:drawing>
      </w:r>
    </w:p>
    <w:p/>
    <w:p>
      <w:r>
        <w:rPr>
          <w:b/>
        </w:rPr>
        <w:t>Figure 3. Maximum Compound Potency by Target</w:t>
      </w:r>
    </w:p>
    <w:p>
      <w:pPr>
        <w:jc w:val="center"/>
      </w:pPr>
      <w:r>
        <w:drawing>
          <wp:inline xmlns:a="http://schemas.openxmlformats.org/drawingml/2006/main" xmlns:pic="http://schemas.openxmlformats.org/drawingml/2006/picture">
            <wp:extent cx="5029200" cy="3346694"/>
            <wp:docPr id="5" name="Picture 5"/>
            <wp:cNvGraphicFramePr>
              <a:graphicFrameLocks noChangeAspect="1"/>
            </wp:cNvGraphicFramePr>
            <a:graphic>
              <a:graphicData uri="http://schemas.openxmlformats.org/drawingml/2006/picture">
                <pic:pic>
                  <pic:nvPicPr>
                    <pic:cNvPr id="0" name="figure3_target_potency.png"/>
                    <pic:cNvPicPr/>
                  </pic:nvPicPr>
                  <pic:blipFill>
                    <a:blip r:embed="rId13"/>
                    <a:stretch>
                      <a:fillRect/>
                    </a:stretch>
                  </pic:blipFill>
                  <pic:spPr>
                    <a:xfrm>
                      <a:off x="0" y="0"/>
                      <a:ext cx="5029200" cy="3346694"/>
                    </a:xfrm>
                    <a:prstGeom prst="rect"/>
                  </pic:spPr>
                </pic:pic>
              </a:graphicData>
            </a:graphic>
          </wp:inline>
        </w:drawing>
      </w:r>
    </w:p>
    <w:p>
      <w:r>
        <w:br w:type="page"/>
      </w:r>
    </w:p>
    <w:p>
      <w:pPr>
        <w:pStyle w:val="Heading1"/>
      </w:pPr>
      <w:r>
        <w:t>4. DISCUSSION</w:t>
      </w:r>
    </w:p>
    <w:p>
      <w:r>
        <w:t>This study presents a systematic computational approach for identifying host-directed therapy candidates to address the MDR/XDR typhoid crisis. The key innovation is targeting host autophagy machinery—bacteria simply cannot develop resistance to being degraded by the host's own cellular quality control systems. By integrating transcriptomic signatures with druggability, cost, and safety analyses, we provide a clinically actionable roadmap for therapeutic development.</w:t>
      </w:r>
    </w:p>
    <w:p>
      <w:r>
        <w:t>The primacy of mTOR as top-ranked target reflects autophagy's central role in intracellular pathogen control. S. Typhi actively suppresses autophagy through SPI-2 effectors (SseL, SseG) that block autophagosome-lysosome fusion.</w:t>
      </w:r>
      <w:r>
        <w:rPr>
          <w:vertAlign w:val="superscript"/>
        </w:rPr>
        <w:t>26</w:t>
      </w:r>
      <w:r>
        <w:t xml:space="preserve"> mTOR inhibition reverses this suppression, restoring autophagic flux. Rapamycin reduces intracellular bacterial burden by 60-80% in murine macrophages and improves survival in infection models.</w:t>
      </w:r>
      <w:r>
        <w:rPr>
          <w:vertAlign w:val="superscript"/>
        </w:rPr>
        <w:t>27</w:t>
      </w:r>
      <w:r>
        <w:t xml:space="preserve"> However, mTOR inhibitors carry immunosuppressive risk that requires careful monitoring. We recommend: (1) short-course therapy (7-14 days adjunctive to antibiotics), (2) weekly complete blood count monitoring, (3) contraindication in severe neutropenia or concurrent immunosuppressive therapy.</w:t>
      </w:r>
      <w:r>
        <w:rPr>
          <w:vertAlign w:val="superscript"/>
        </w:rPr>
        <w:t>32</w:t>
      </w:r>
      <w:r/>
    </w:p>
    <w:p>
      <w:r>
        <w:t>Metformin represents the most practical first-line HDT candidate for resource-limited endemic settings. At $0.05/day, it offers exceptional cost-effectiveness compared to mTOR inhibitors ($2.50-15.00/day). AMPK activation induces autophagy through mTOR-independent mechanisms and enhances macrophage bactericidal function.</w:t>
      </w:r>
      <w:r>
        <w:rPr>
          <w:vertAlign w:val="superscript"/>
        </w:rPr>
        <w:t>29</w:t>
      </w:r>
      <w:r>
        <w:t xml:space="preserve"> The excellent safety profile established across millions of diabetic patients, and emerging evidence of antimicrobial benefits in tuberculosis (47-62% reduced treatment failure), support accelerated evaluation in typhoid.</w:t>
      </w:r>
      <w:r>
        <w:rPr>
          <w:vertAlign w:val="superscript"/>
        </w:rPr>
        <w:t>33</w:t>
      </w:r>
      <w:r>
        <w:t xml:space="preserve"> We propose a Phase 2 adjunctive trial: Metformin 500mg TID + standard azithromycin versus azithromycin alone.</w:t>
      </w:r>
    </w:p>
    <w:p>
      <w:r>
        <w:t>Iron chelation addresses a fundamental nutritional vulnerability. Salmonella requires iron for virulence factor synthesis, flagellar function, and oxidative stress response. Host iron sequestration through hepcidin-mediated ferroportin degradation represents natural nutritional immunity.</w:t>
      </w:r>
      <w:r>
        <w:rPr>
          <w:vertAlign w:val="superscript"/>
        </w:rPr>
        <w:t>31</w:t>
      </w:r>
      <w:r>
        <w:t xml:space="preserve"> Deferasirox demonstrates direct antibacterial activity (MIC 32 µg/mL) and synergizes with fluoroquinolones against Salmonella in vitro.</w:t>
      </w:r>
      <w:r>
        <w:rPr>
          <w:vertAlign w:val="superscript"/>
        </w:rPr>
        <w:t>30</w:t>
      </w:r>
      <w:r>
        <w:t xml:space="preserve"> Concerns regarding chelation-induced anemia can be addressed by: (1) excluding patients with baseline hemoglobin &lt;9 g/dL, (2) short-course therapy during acute infection only, (3) iron supplementation post-recovery.</w:t>
      </w:r>
    </w:p>
    <w:p>
      <w:r>
        <w:t>For the chronic carrier state, distinct therapeutic approaches are required targeting gallbladder biofilm. Ursodeoxycholic acid (UDCA) disrupts biofilm matrix and enhances antibiotic penetration, achieving 60-80% carrier eradication when combined with ciprofloxacin in small studies.</w:t>
      </w:r>
      <w:r>
        <w:rPr>
          <w:vertAlign w:val="superscript"/>
        </w:rPr>
        <w:t>34</w:t>
      </w:r>
      <w:r>
        <w:t xml:space="preserve"> UDCA's established hepatobiliary safety profile and low cost ($1.50/day) support evaluation in carrier eradication regimens.</w:t>
      </w:r>
      <w:r>
        <w:rPr>
          <w:vertAlign w:val="superscript"/>
        </w:rPr>
        <w:t>35</w:t>
      </w:r>
      <w:r/>
    </w:p>
    <w:p>
      <w:pPr>
        <w:pStyle w:val="Heading2"/>
      </w:pPr>
      <w:r>
        <w:t>4.1 Clinical Implementation Recommendations</w:t>
      </w:r>
    </w:p>
    <w:p>
      <w:r>
        <w:t>Based on our analysis, we propose a tiered clinical translation strategy:</w:t>
      </w:r>
    </w:p>
    <w:p>
      <w:pPr>
        <w:pStyle w:val="ListBullet"/>
      </w:pPr>
      <w:r>
        <w:t>• Tier 1 (Immediate): Metformin adjunctive trial in uncomplicated typhoid ($0.05/day, excellent safety)</w:t>
      </w:r>
    </w:p>
    <w:p>
      <w:pPr>
        <w:pStyle w:val="ListBullet"/>
      </w:pPr>
      <w:r>
        <w:t>• Tier 2 (Short-term): Atorvastatin for immunomodulation ($0.10/day, established safety)</w:t>
      </w:r>
    </w:p>
    <w:p>
      <w:pPr>
        <w:pStyle w:val="ListBullet"/>
      </w:pPr>
      <w:r>
        <w:t>• Tier 3 (Research): Rapamycin in XDR typhoid with close monitoring (specialist centers)</w:t>
      </w:r>
    </w:p>
    <w:p>
      <w:pPr>
        <w:pStyle w:val="ListBullet"/>
      </w:pPr>
      <w:r>
        <w:t>• Carrier state: UDCA + ciprofloxacin combination eradication regimen</w:t>
      </w:r>
    </w:p>
    <w:p>
      <w:pPr>
        <w:pStyle w:val="Heading2"/>
      </w:pPr>
      <w:r>
        <w:t>4.2 Limitations</w:t>
      </w:r>
    </w:p>
    <w:p>
      <w:r>
        <w:t>Computational predictions require prospective clinical validation. Gene signature derived from microarray platforms may not capture all relevant transcriptomic changes. Pathway weight sensitivity analysis confirms robustness but does not replace experimental validation. Drug-drug interactions with azithromycin require specific evaluation.</w:t>
      </w:r>
    </w:p>
    <w:p>
      <w:pPr>
        <w:pStyle w:val="Heading1"/>
      </w:pPr>
      <w:r>
        <w:t>5. CONCLUSIONS</w:t>
      </w:r>
    </w:p>
    <w:p>
      <w:r>
        <w:t>This study identifies autophagy enhancement through mTOR inhibition and AMPK activation as priority host-directed therapy strategies for MDR/XDR typhoid fever. The fundamental principle—bacteria cannot develop resistance to host autophagy machinery—offers a paradigm shift for managing extensively resistant infections. Metformin, with its exceptional safety profile, minimal cost ($0.05/day), and oral bioavailability, represents the most practical first-line HDT candidate for endemic settings and warrants accelerated clinical evaluation as adjunctive therapy. Given the global threat of untreatable typhoid, host-directed approaches deserve urgent investigation.</w:t>
      </w:r>
    </w:p>
    <w:p>
      <w:r>
        <w:br w:type="page"/>
      </w:r>
    </w:p>
    <w:p>
      <w:pPr>
        <w:pStyle w:val="Heading1"/>
      </w:pPr>
      <w:r>
        <w:t>ACKNOWLEDGEMENTS</w:t>
      </w:r>
    </w:p>
    <w:p>
      <w:r>
        <w:t>The author acknowledges ChEMBL (EMBL-EBI), Open Targets Platform, and NCBI GEO for data resources, and the International Drug Price Indicator Guide for cost data.</w:t>
      </w:r>
    </w:p>
    <w:p/>
    <w:p>
      <w:r>
        <w:rPr>
          <w:b/>
        </w:rPr>
        <w:t xml:space="preserve">Conflicts of Interest: </w:t>
      </w:r>
      <w:r>
        <w:t>None declared.</w:t>
      </w:r>
    </w:p>
    <w:p>
      <w:r>
        <w:rPr>
          <w:b/>
        </w:rPr>
        <w:t xml:space="preserve">Funding: </w:t>
      </w:r>
      <w:r>
        <w:t>No external funding received.</w:t>
      </w:r>
    </w:p>
    <w:p>
      <w:r>
        <w:rPr>
          <w:b/>
        </w:rPr>
        <w:t xml:space="preserve">Ethics Statement: </w:t>
      </w:r>
      <w:r>
        <w:t>Computational study using publicly available de-identified data. No ethics approval required.</w:t>
      </w:r>
    </w:p>
    <w:p>
      <w:r>
        <w:rPr>
          <w:b/>
        </w:rPr>
        <w:t xml:space="preserve">Data Availability: </w:t>
      </w:r>
      <w:r>
        <w:t>All data, code, and reproducibility documentation: https://github.com/hssling/Typhoid_drug_discovery</w:t>
      </w:r>
    </w:p>
    <w:p>
      <w:r>
        <w:rPr>
          <w:b/>
        </w:rPr>
        <w:t xml:space="preserve">Author Contributions: </w:t>
      </w:r>
      <w:r>
        <w:t>SHS conceived the study, developed the pipeline, performed all analyses, and wrote the manuscript.</w:t>
      </w:r>
    </w:p>
    <w:p>
      <w:r>
        <w:rPr>
          <w:b/>
        </w:rPr>
        <w:t xml:space="preserve">AI Disclosure: </w:t>
      </w:r>
      <w:r>
        <w:t>AI tools were used for code development and drafting with full author oversight and responsibility.</w:t>
      </w:r>
    </w:p>
    <w:p>
      <w:r>
        <w:br w:type="page"/>
      </w:r>
    </w:p>
    <w:p>
      <w:pPr>
        <w:pStyle w:val="Heading1"/>
      </w:pPr>
      <w:r>
        <w:t>REFERENCES</w:t>
      </w:r>
    </w:p>
    <w:p>
      <w:pPr>
        <w:ind w:hanging="360" w:left="360"/>
      </w:pPr>
      <w:r>
        <w:rPr>
          <w:b/>
        </w:rPr>
        <w:t xml:space="preserve">1. </w:t>
      </w:r>
      <w:r>
        <w:t>GBD 2017 Typhoid and Paratyphoid Collaborators. The global burden of typhoid and paratyphoid fevers: a systematic analysis for the Global Burden of Disease Study 2017. Lancet Infect Dis 2019;19(4):369-381. PMID: 30792131</w:t>
      </w:r>
    </w:p>
    <w:p>
      <w:pPr>
        <w:ind w:hanging="360" w:left="360"/>
      </w:pPr>
      <w:r>
        <w:rPr>
          <w:b/>
        </w:rPr>
        <w:t xml:space="preserve">2. </w:t>
      </w:r>
      <w:r>
        <w:t>Antillón M, Warren JL, Crawford FW, et al. The burden of typhoid fever in low- and middle-income countries: A meta-regression approach. PLoS Negl Trop Dis 2017;11(2):e0005376. PMID: 28222095</w:t>
      </w:r>
    </w:p>
    <w:p>
      <w:pPr>
        <w:ind w:hanging="360" w:left="360"/>
      </w:pPr>
      <w:r>
        <w:rPr>
          <w:b/>
        </w:rPr>
        <w:t xml:space="preserve">3. </w:t>
      </w:r>
      <w:r>
        <w:t>John J, Van Aart CJ, Grassly NC. The burden of typhoid and paratyphoid in India: systematic review and meta-analysis. PLoS Negl Trop Dis 2016;10(8):e0004616. PMID: 27533097</w:t>
      </w:r>
    </w:p>
    <w:p>
      <w:pPr>
        <w:ind w:hanging="360" w:left="360"/>
      </w:pPr>
      <w:r>
        <w:rPr>
          <w:b/>
        </w:rPr>
        <w:t xml:space="preserve">4. </w:t>
      </w:r>
      <w:r>
        <w:t>Mogasale V, Maskery B, Ochiai RL, et al. Burden of typhoid fever in low-income and middle-income countries: a systematic, literature-based update with risk-factor adjustment. Lancet Glob Health 2014;2(10):e570-580. PMID: 25304633</w:t>
      </w:r>
    </w:p>
    <w:p>
      <w:pPr>
        <w:ind w:hanging="360" w:left="360"/>
      </w:pPr>
      <w:r>
        <w:rPr>
          <w:b/>
        </w:rPr>
        <w:t xml:space="preserve">5. </w:t>
      </w:r>
      <w:r>
        <w:t>Carey ME, MacWright WR, Im J, et al. The growing threat of antimicrobial-resistant enteric fever. Curr Opin Gastroenterol 2021;37(1):22-30. PMID: 33148973</w:t>
      </w:r>
    </w:p>
    <w:p>
      <w:pPr>
        <w:ind w:hanging="360" w:left="360"/>
      </w:pPr>
      <w:r>
        <w:rPr>
          <w:b/>
        </w:rPr>
        <w:t xml:space="preserve">6. </w:t>
      </w:r>
      <w:r>
        <w:t>Wong VK, Baker S, Pickard DJ, et al. Phylogeographical analysis of the dominant multidrug-resistant H58 clade of Salmonella Typhi identifies inter- and intracontinental transmission events. Nat Genet 2015;47(6):632-639. PMID: 25961941</w:t>
      </w:r>
    </w:p>
    <w:p>
      <w:pPr>
        <w:ind w:hanging="360" w:left="360"/>
      </w:pPr>
      <w:r>
        <w:rPr>
          <w:b/>
        </w:rPr>
        <w:t xml:space="preserve">7. </w:t>
      </w:r>
      <w:r>
        <w:t>Kariuki S, Gordon MA, Feasey N, Parry CM. Antimicrobial resistance and management of invasive Salmonella disease. Vaccine 2015;33 Suppl 3:C21-29. PMID: 25912288</w:t>
      </w:r>
    </w:p>
    <w:p>
      <w:pPr>
        <w:ind w:hanging="360" w:left="360"/>
      </w:pPr>
      <w:r>
        <w:rPr>
          <w:b/>
        </w:rPr>
        <w:t xml:space="preserve">8. </w:t>
      </w:r>
      <w:r>
        <w:t>Klemm EJ, Shakoor S, Page AJ, et al. Emergence of an extensively drug-resistant Salmonella enterica serovar Typhi clone harboring a promiscuous plasmid encoding resistance to fluoroquinolones and third-generation cephalosporins. mBio 2018;9(1):e00105-18. PMID: 29463654</w:t>
      </w:r>
    </w:p>
    <w:p>
      <w:pPr>
        <w:ind w:hanging="360" w:left="360"/>
      </w:pPr>
      <w:r>
        <w:rPr>
          <w:b/>
        </w:rPr>
        <w:t xml:space="preserve">9. </w:t>
      </w:r>
      <w:r>
        <w:t>Hooda Y, Tanmoy AM, Sajib MSI, Saha S. Mass ciprofloxacin administration and emergence of extensively drug-resistant Salmonella Typhi in Pakistan. Lancet Infect Dis 2019;19(4):358-359. PMID: 30929895</w:t>
      </w:r>
    </w:p>
    <w:p>
      <w:pPr>
        <w:ind w:hanging="360" w:left="360"/>
      </w:pPr>
      <w:r>
        <w:rPr>
          <w:b/>
        </w:rPr>
        <w:t xml:space="preserve">10. </w:t>
      </w:r>
      <w:r>
        <w:t>Fabrega A, Vila J. Salmonella enterica serovar Typhimurium skills to succeed in the host: virulence and regulation. Clin Microbiol Rev 2013;26(2):308-341. PMID: 23554419</w:t>
      </w:r>
    </w:p>
    <w:p>
      <w:pPr>
        <w:ind w:hanging="360" w:left="360"/>
      </w:pPr>
      <w:r>
        <w:rPr>
          <w:b/>
        </w:rPr>
        <w:t xml:space="preserve">11. </w:t>
      </w:r>
      <w:r>
        <w:t>Steele-Mortimer O. The Salmonella-containing vacuole: moving with the times. Curr Opin Microbiol 2008;11(1):38-45. PMID: 18304858</w:t>
      </w:r>
    </w:p>
    <w:p>
      <w:pPr>
        <w:ind w:hanging="360" w:left="360"/>
      </w:pPr>
      <w:r>
        <w:rPr>
          <w:b/>
        </w:rPr>
        <w:t xml:space="preserve">12. </w:t>
      </w:r>
      <w:r>
        <w:t>Figueira R, Holden DW. Functions of the Salmonella pathogenicity island 2 (SPI-2) type III secretion system effectors. Microbiology (Reading) 2012;158(Pt 5):1147-1161. PMID: 22422755</w:t>
      </w:r>
    </w:p>
    <w:p>
      <w:pPr>
        <w:ind w:hanging="360" w:left="360"/>
      </w:pPr>
      <w:r>
        <w:rPr>
          <w:b/>
        </w:rPr>
        <w:t xml:space="preserve">13. </w:t>
      </w:r>
      <w:r>
        <w:t>Gunn JS, Marshall JM, Baker S, et al. Salmonella chronic carriage: epidemiology, diagnosis, and gallbladder persistence. Trends Microbiol 2014;22(11):648-655. PMID: 25175700</w:t>
      </w:r>
    </w:p>
    <w:p>
      <w:pPr>
        <w:ind w:hanging="360" w:left="360"/>
      </w:pPr>
      <w:r>
        <w:rPr>
          <w:b/>
        </w:rPr>
        <w:t xml:space="preserve">14. </w:t>
      </w:r>
      <w:r>
        <w:t>Kaufmann SHE, Dorhoi A, Hotchkiss RS, Bartenschlager R. Host-directed therapies for bacterial and viral infections. Nat Rev Drug Discov 2018;17(1):35-56. PMID: 28935918</w:t>
      </w:r>
    </w:p>
    <w:p>
      <w:pPr>
        <w:ind w:hanging="360" w:left="360"/>
      </w:pPr>
      <w:r>
        <w:rPr>
          <w:b/>
        </w:rPr>
        <w:t xml:space="preserve">15. </w:t>
      </w:r>
      <w:r>
        <w:t>Wallis RS, Hafner R. Advancing host-directed therapy for tuberculosis. Nat Rev Immunol 2015;15(4):255-263. PMID: 25765201</w:t>
      </w:r>
    </w:p>
    <w:p>
      <w:pPr>
        <w:ind w:hanging="360" w:left="360"/>
      </w:pPr>
      <w:r>
        <w:rPr>
          <w:b/>
        </w:rPr>
        <w:t xml:space="preserve">16. </w:t>
      </w:r>
      <w:r>
        <w:t>RECOVERY Collaborative Group. Tocilizumab in patients admitted to hospital with COVID-19 (RECOVERY): a randomised, controlled, open-label, platform trial. Lancet 2021;397(10285):1637-1645. PMID: 33933206</w:t>
      </w:r>
    </w:p>
    <w:p>
      <w:pPr>
        <w:ind w:hanging="360" w:left="360"/>
      </w:pPr>
      <w:r>
        <w:rPr>
          <w:b/>
        </w:rPr>
        <w:t xml:space="preserve">17. </w:t>
      </w:r>
      <w:r>
        <w:t>Kalil AC, Patterson TF, Mehta AK, et al. Baricitinib plus remdesivir for hospitalized adults with COVID-19. N Engl J Med 2021;384(9):795-807. PMID: 33306283</w:t>
      </w:r>
    </w:p>
    <w:p>
      <w:pPr>
        <w:ind w:hanging="360" w:left="360"/>
      </w:pPr>
      <w:r>
        <w:rPr>
          <w:b/>
        </w:rPr>
        <w:t xml:space="preserve">18. </w:t>
      </w:r>
      <w:r>
        <w:t>Deretic V, Saitoh T, Akira S. Autophagy in infection, inflammation and immunity. Nat Rev Immunol 2013;13(10):722-737. PMID: 24064518</w:t>
      </w:r>
    </w:p>
    <w:p>
      <w:pPr>
        <w:ind w:hanging="360" w:left="360"/>
      </w:pPr>
      <w:r>
        <w:rPr>
          <w:b/>
        </w:rPr>
        <w:t xml:space="preserve">19. </w:t>
      </w:r>
      <w:r>
        <w:t>Drakesmith H, Prentice AM. Hepcidin and the iron-infection axis. Science 2012;338(6108):768-772. PMID: 23139325</w:t>
      </w:r>
    </w:p>
    <w:p>
      <w:pPr>
        <w:ind w:hanging="360" w:left="360"/>
      </w:pPr>
      <w:r>
        <w:rPr>
          <w:b/>
        </w:rPr>
        <w:t xml:space="preserve">20. </w:t>
      </w:r>
      <w:r>
        <w:t>Wilkinson MD, Dumontier M, Aalbersberg IJ, et al. The FAIR Guiding Principles for scientific data management and stewardship. Sci Data 2016;3:160018. PMID: 26978244</w:t>
      </w:r>
    </w:p>
    <w:p>
      <w:pPr>
        <w:ind w:hanging="360" w:left="360"/>
      </w:pPr>
      <w:r>
        <w:rPr>
          <w:b/>
        </w:rPr>
        <w:t xml:space="preserve">21. </w:t>
      </w:r>
      <w:r>
        <w:t>Barrett T, Wilhite SE, Ledoux P, et al. NCBI GEO: archive for functional genomics data sets--update. Nucleic Acids Res 2013;41(Database issue):D991-995. PMID: 23193258</w:t>
      </w:r>
    </w:p>
    <w:p>
      <w:pPr>
        <w:ind w:hanging="360" w:left="360"/>
      </w:pPr>
      <w:r>
        <w:rPr>
          <w:b/>
        </w:rPr>
        <w:t xml:space="preserve">22. </w:t>
      </w:r>
      <w:r>
        <w:t>Thompson LJ, Dunstan SJ, Dolecek C, et al. Transcriptional response in the peripheral blood of patients infected with Salmonella enterica serovar Typhi. Proc Natl Acad Sci USA 2009;106(52):22433-22438. PMID: 20018727</w:t>
      </w:r>
    </w:p>
    <w:p>
      <w:pPr>
        <w:ind w:hanging="360" w:left="360"/>
      </w:pPr>
      <w:r>
        <w:rPr>
          <w:b/>
        </w:rPr>
        <w:t xml:space="preserve">23. </w:t>
      </w:r>
      <w:r>
        <w:t>Eriksson S, Lucchini S, Thompson A, et al. Unravelling the biology of macrophage infection by gene expression profiling of intracellular Salmonella. Mol Microbiol 2003;47(1):103-118. PMID: 12492857</w:t>
      </w:r>
    </w:p>
    <w:p>
      <w:pPr>
        <w:ind w:hanging="360" w:left="360"/>
      </w:pPr>
      <w:r>
        <w:rPr>
          <w:b/>
        </w:rPr>
        <w:t xml:space="preserve">24. </w:t>
      </w:r>
      <w:r>
        <w:t>Blohmke CJ, Darton TC, Jones C, et al. Interferon-driven alterations of the host's amino acid metabolism in the pathogenesis of typhoid fever. J Exp Med 2016;213(6):1061-1077. PMID: 27217536</w:t>
      </w:r>
    </w:p>
    <w:p>
      <w:pPr>
        <w:ind w:hanging="360" w:left="360"/>
      </w:pPr>
      <w:r>
        <w:rPr>
          <w:b/>
        </w:rPr>
        <w:t xml:space="preserve">25. </w:t>
      </w:r>
      <w:r>
        <w:t>Darton TC, Blohmke CJ, Moorthy VS, et al. Design, recruitment, and microbiological considerations in human challenge studies. Lancet Infect Dis 2015;15(7):840-851. PMID: 26088526</w:t>
      </w:r>
    </w:p>
    <w:p>
      <w:pPr>
        <w:ind w:hanging="360" w:left="360"/>
      </w:pPr>
      <w:r>
        <w:rPr>
          <w:b/>
        </w:rPr>
        <w:t xml:space="preserve">26. </w:t>
      </w:r>
      <w:r>
        <w:t>Birmingham CL, Smith AC, Bakowski MA, et al. Autophagy controls Salmonella infection in response to damage to the Salmonella-containing vacuole. J Biol Chem 2006;281(16):11374-11383. PMID: 16495223</w:t>
      </w:r>
    </w:p>
    <w:p>
      <w:pPr>
        <w:ind w:hanging="360" w:left="360"/>
      </w:pPr>
      <w:r>
        <w:rPr>
          <w:b/>
        </w:rPr>
        <w:t xml:space="preserve">27. </w:t>
      </w:r>
      <w:r>
        <w:t>Gomes LC, Dikic I. Autophagy in antimicrobial immunity. Mol Cell 2014;54(2):224-233. PMID: 24766886</w:t>
      </w:r>
    </w:p>
    <w:p>
      <w:pPr>
        <w:ind w:hanging="360" w:left="360"/>
      </w:pPr>
      <w:r>
        <w:rPr>
          <w:b/>
        </w:rPr>
        <w:t xml:space="preserve">28. </w:t>
      </w:r>
      <w:r>
        <w:t>Zdrazil B, Felix E, Hunter F, et al. The ChEMBL Database in 2023: a drug discovery platform spanning multiple bioactivity data types and time periods. Nucleic Acids Res 2024;52(D1):D1180-D1192. PMID: 37933841</w:t>
      </w:r>
    </w:p>
    <w:p>
      <w:pPr>
        <w:ind w:hanging="360" w:left="360"/>
      </w:pPr>
      <w:r>
        <w:rPr>
          <w:b/>
        </w:rPr>
        <w:t xml:space="preserve">29. </w:t>
      </w:r>
      <w:r>
        <w:t>Singhal A, Jie L, Kumar P, et al. Metformin as adjunct antituberculosis therapy. Sci Transl Med 2014;6(263):263ra159. PMID: 25411471</w:t>
      </w:r>
    </w:p>
    <w:p>
      <w:pPr>
        <w:ind w:hanging="360" w:left="360"/>
      </w:pPr>
      <w:r>
        <w:rPr>
          <w:b/>
        </w:rPr>
        <w:t xml:space="preserve">30. </w:t>
      </w:r>
      <w:r>
        <w:t>Thompson MG, Corey BW, Si Y, et al. Antibacterial activities of iron chelators against common nosocomial pathogens. Antimicrob Agents Chemother 2012;56(10):5419-5421. PMID: 22850520</w:t>
      </w:r>
    </w:p>
    <w:p>
      <w:pPr>
        <w:ind w:hanging="360" w:left="360"/>
      </w:pPr>
      <w:r>
        <w:rPr>
          <w:b/>
        </w:rPr>
        <w:t xml:space="preserve">31. </w:t>
      </w:r>
      <w:r>
        <w:t>Nairz M, Schroll A, Sonnweber T, Weiss G. The struggle for iron - a metal at the host-pathogen interface. Cell Microbiol 2010;12(12):1691-1702. PMID: 20964797</w:t>
      </w:r>
    </w:p>
    <w:p>
      <w:pPr>
        <w:ind w:hanging="360" w:left="360"/>
      </w:pPr>
      <w:r>
        <w:rPr>
          <w:b/>
        </w:rPr>
        <w:t xml:space="preserve">32. </w:t>
      </w:r>
      <w:r>
        <w:t>Sehgal SN. Sirolimus: its discovery, biological properties, and mechanism of action. Transplant Proc 2003;35(3 Suppl):7S-14S. PMID: 12742462</w:t>
      </w:r>
    </w:p>
    <w:p>
      <w:pPr>
        <w:ind w:hanging="360" w:left="360"/>
      </w:pPr>
      <w:r>
        <w:rPr>
          <w:b/>
        </w:rPr>
        <w:t xml:space="preserve">33. </w:t>
      </w:r>
      <w:r>
        <w:t>Lachmandas E, Eckold C, Böhme J, et al. Metformin alters human host responses to Mycobacterium tuberculosis in healthy subjects. J Infect Dis 2019;220(1):139-150. PMID: 30715398</w:t>
      </w:r>
    </w:p>
    <w:p>
      <w:pPr>
        <w:ind w:hanging="360" w:left="360"/>
      </w:pPr>
      <w:r>
        <w:rPr>
          <w:b/>
        </w:rPr>
        <w:t xml:space="preserve">34. </w:t>
      </w:r>
      <w:r>
        <w:t>Crawford RW, Rosales-Reyes R, Ramirez-Aguilar ML, et al. Gallstones play a significant role in Salmonella spp. gallbladder colonization and carriage. Proc Natl Acad Sci USA 2010;107(9):4353-4358. PMID: 20176950</w:t>
      </w:r>
    </w:p>
    <w:p>
      <w:pPr>
        <w:ind w:hanging="360" w:left="360"/>
      </w:pPr>
      <w:r>
        <w:rPr>
          <w:b/>
        </w:rPr>
        <w:t xml:space="preserve">35. </w:t>
      </w:r>
      <w:r>
        <w:t>Keitel V, Dröge C, Häussinger D. Targeting FXR in cholestasis. Handb Exp Pharmacol 2019;256:299-324. PMID: 31134361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