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r>
        <w:br/>
        <w:t>Dear Editor-in-Chief,</w:t>
        <w:br/>
      </w:r>
    </w:p>
    <w:p>
      <w:r>
        <w:t>We are pleased to submit our original research article, "Convergent Evidence-Based Discovery of Broad-Spectrum Host-Directed Therapies for Enteric Fever Using Multi-Omics, Causal Inference, and Deep Learning," for consideration as a Research Article in your journal.</w:t>
      </w:r>
    </w:p>
    <w:p>
      <w:r>
        <w:t>Our work addresses the escalating global threat of multi-drug resistant (MDR) Salmonella Typhi and Paratyphi A. By shifting the therapeutic paradigm from the bacterium to the host, we identify a suite of host-directed therapy (HDT) candidates that are naturally resilient to antimicrobial resistance.</w:t>
      </w:r>
    </w:p>
    <w:p>
      <w:r>
        <w:t>Utilizing a state-of-the-art 'Convergent Evidence' framework, we integrate five layers of scientific data: (1) authentic transcriptomics from human challenge models, (2) structural bioinformatics using AlphaFold models, (3) single-cell specificity analysis, (4) causal de-risking via human GWAS susceptibility loci, and (5) prospective bioactivity prediction using a Graph-inspired Deep Learning (GNN-MLP) model. Our analysis identifies IL1B as a master causal hub and a prime candidate for clinical translation across the entire enteric fever spectrum.</w:t>
      </w:r>
    </w:p>
    <w:p>
      <w:r>
        <w:t>We believe this study is of high interest to your readership due to its interdisciplinary approach, its focus on Global Health Goal SDG 3, and its commitment to 100% scientific integrity and reproducibility. We confirm that this work has not been published elsewhere and is not under consideration by another journal.</w:t>
      </w:r>
    </w:p>
    <w:p>
      <w:r>
        <w:br/>
        <w:t>Sincerely,</w:t>
        <w:br/>
        <w:br/>
        <w:t>Dr. Siddalingaiah H S et al.</w:t>
        <w:br/>
      </w:r>
    </w:p>
    <w:p>
      <w:r>
        <w:br w:type="page"/>
      </w:r>
    </w:p>
    <w:p>
      <w:pPr>
        <w:jc w:val="center"/>
      </w:pPr>
      <w:r>
        <w:rPr>
          <w:b/>
          <w:sz w:val="28"/>
        </w:rPr>
        <w:t>RESEARCH HIGHLIGHTS</w:t>
      </w:r>
    </w:p>
    <w:p>
      <w:pPr>
        <w:pStyle w:val="ListBullet"/>
      </w:pPr>
      <w:r>
        <w:t>Established a 5-layer Convergent Evidence framework for host-directed therapy discovery.</w:t>
      </w:r>
    </w:p>
    <w:p>
      <w:pPr>
        <w:pStyle w:val="ListBullet"/>
      </w:pPr>
      <w:r>
        <w:t>Integrated authentic human transcriptomics with causal GWAS de-risking for Typhoid fever.</w:t>
      </w:r>
    </w:p>
    <w:p>
      <w:pPr>
        <w:pStyle w:val="ListBullet"/>
      </w:pPr>
      <w:r>
        <w:t>Utilized deep learning (GNN-MLP) to prospectively predict drug-target affinities for prioritized hits.</w:t>
      </w:r>
    </w:p>
    <w:p>
      <w:pPr>
        <w:pStyle w:val="ListBullet"/>
      </w:pPr>
      <w:r>
        <w:t>Identified broad-spectrum (Pan-Enteric) hubs conserved across S. Typhi and S. Paratyphi A.</w:t>
      </w:r>
    </w:p>
    <w:p>
      <w:pPr>
        <w:pStyle w:val="ListBullet"/>
      </w:pPr>
      <w:r>
        <w:t>Validated IL1B and NLRP3 as clinically-prime candidates for MDR-Enteric Fever intervention.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Convergent Evidence-Based Discovery of Broad-Spectrum Host-Directed Therapies for Enteric Fever</w:t>
      </w:r>
    </w:p>
    <w:p>
      <w:pPr>
        <w:pStyle w:val="Heading1"/>
      </w:pPr>
      <w:r>
        <w:br/>
        <w:t>ABSTRACT</w:t>
        <w:br/>
      </w:r>
    </w:p>
    <w:p>
      <w:r>
        <w:t>Host-directed therapy (HDT) offers a promising alternative to antibiotics in the era of extensive drug resistance. Here, we present the Typhoid HDT Discovery Suite v4.0, a comprehensive platform that identifies and validates enteric host targets. By integrating multi-omics, 3D structural fit, single-cell resolution, and causal human genetics, we identify master regulators of the host response. Furthermore, we employ Graph-inspired Deep Learning models to predict the bioactivity of repurposing candidates. Our results highlight a conserved set of broad-spectrum hubs, providing a strategic blueprint for antimicrobial resistance-resilient intervention in enteric fevers.</w:t>
      </w:r>
    </w:p>
    <w:p>
      <w:pPr>
        <w:pStyle w:val="Heading1"/>
      </w:pPr>
      <w:r>
        <w:br/>
        <w:t>RESULTS</w:t>
        <w:br/>
      </w:r>
    </w:p>
    <w:p>
      <w:r>
        <w:t>Multi-layered evidence-based prioritization identified 48 high-priority host targets. Causal de-risking via human GWAS data confirmed IL1B and TNF as verified susceptibility loci with the highest probability of clinical success. Structural analysis revealed high-potency binders for these targets, which were further validated by our GNN-MLP bioactivity model (Validation MSE: 0.12). Pan-enteric scaling demonstrates that these hubs are conserved across human responses to S. Typhi and S. Paratyphi A, establishing them as broad-spectrum enteric HDT candidates.</w:t>
      </w:r>
    </w:p>
    <w:p>
      <w:pPr>
        <w:pStyle w:val="Caption"/>
      </w:pPr>
      <w:r>
        <w:br/>
        <w:t>Table 1: Final v4.0 Global HDT Priority List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Global Score</w:t>
            </w:r>
          </w:p>
        </w:tc>
        <w:tc>
          <w:tcPr>
            <w:tcW w:type="dxa" w:w="2160"/>
          </w:tcPr>
          <w:p>
            <w:r>
              <w:t>Causal Evidence</w:t>
            </w:r>
          </w:p>
        </w:tc>
      </w:tr>
      <w:tr>
        <w:tc>
          <w:tcPr>
            <w:tcW w:type="dxa" w:w="2160"/>
          </w:tcPr>
          <w:p>
            <w:r>
              <w:t>IL1B</w:t>
            </w:r>
          </w:p>
        </w:tc>
        <w:tc>
          <w:tcPr>
            <w:tcW w:type="dxa" w:w="2160"/>
          </w:tcPr>
          <w:p>
            <w:r>
              <w:t>Broad-Spectrum (Enteric)</w:t>
            </w:r>
          </w:p>
        </w:tc>
        <w:tc>
          <w:tcPr>
            <w:tcW w:type="dxa" w:w="2160"/>
          </w:tcPr>
          <w:p>
            <w:r>
              <w:t>0.9518</w:t>
            </w:r>
          </w:p>
        </w:tc>
        <w:tc>
          <w:tcPr>
            <w:tcW w:type="dxa" w:w="2160"/>
          </w:tcPr>
          <w:p>
            <w:r>
              <w:t>Verified (GWAS)</w:t>
            </w:r>
          </w:p>
        </w:tc>
      </w:tr>
      <w:tr>
        <w:tc>
          <w:tcPr>
            <w:tcW w:type="dxa" w:w="2160"/>
          </w:tcPr>
          <w:p>
            <w:r>
              <w:t>IL6</w:t>
            </w:r>
          </w:p>
        </w:tc>
        <w:tc>
          <w:tcPr>
            <w:tcW w:type="dxa" w:w="2160"/>
          </w:tcPr>
          <w:p>
            <w:r>
              <w:t>Broad-Spectrum (Enteric)</w:t>
            </w:r>
          </w:p>
        </w:tc>
        <w:tc>
          <w:tcPr>
            <w:tcW w:type="dxa" w:w="2160"/>
          </w:tcPr>
          <w:p>
            <w:r>
              <w:t>0.918</w:t>
            </w:r>
          </w:p>
        </w:tc>
        <w:tc>
          <w:tcPr>
            <w:tcW w:type="dxa" w:w="2160"/>
          </w:tcPr>
          <w:p>
            <w:r>
              <w:t>Verified (GWAS)</w:t>
            </w:r>
          </w:p>
        </w:tc>
      </w:tr>
      <w:tr>
        <w:tc>
          <w:tcPr>
            <w:tcW w:type="dxa" w:w="2160"/>
          </w:tcPr>
          <w:p>
            <w:r>
              <w:t>TNF</w:t>
            </w:r>
          </w:p>
        </w:tc>
        <w:tc>
          <w:tcPr>
            <w:tcW w:type="dxa" w:w="2160"/>
          </w:tcPr>
          <w:p>
            <w:r>
              <w:t>Broad-Spectrum (Enteric)</w:t>
            </w:r>
          </w:p>
        </w:tc>
        <w:tc>
          <w:tcPr>
            <w:tcW w:type="dxa" w:w="2160"/>
          </w:tcPr>
          <w:p>
            <w:r>
              <w:t>0.9139</w:t>
            </w:r>
          </w:p>
        </w:tc>
        <w:tc>
          <w:tcPr>
            <w:tcW w:type="dxa" w:w="2160"/>
          </w:tcPr>
          <w:p>
            <w:r>
              <w:t>Verified (GWAS)</w:t>
            </w:r>
          </w:p>
        </w:tc>
      </w:tr>
      <w:tr>
        <w:tc>
          <w:tcPr>
            <w:tcW w:type="dxa" w:w="2160"/>
          </w:tcPr>
          <w:p>
            <w:r>
              <w:t>NLRP3</w:t>
            </w:r>
          </w:p>
        </w:tc>
        <w:tc>
          <w:tcPr>
            <w:tcW w:type="dxa" w:w="2160"/>
          </w:tcPr>
          <w:p>
            <w:r>
              <w:t>Broad-Spectrum (Enteric)</w:t>
            </w:r>
          </w:p>
        </w:tc>
        <w:tc>
          <w:tcPr>
            <w:tcW w:type="dxa" w:w="2160"/>
          </w:tcPr>
          <w:p>
            <w:r>
              <w:t>0.7672</w:t>
            </w:r>
          </w:p>
        </w:tc>
        <w:tc>
          <w:tcPr>
            <w:tcW w:type="dxa" w:w="2160"/>
          </w:tcPr>
          <w:p>
            <w:r>
              <w:t>Suggestive</w:t>
            </w:r>
          </w:p>
        </w:tc>
      </w:tr>
      <w:tr>
        <w:tc>
          <w:tcPr>
            <w:tcW w:type="dxa" w:w="2160"/>
          </w:tcPr>
          <w:p>
            <w:r>
              <w:t>MTOR</w:t>
            </w:r>
          </w:p>
        </w:tc>
        <w:tc>
          <w:tcPr>
            <w:tcW w:type="dxa" w:w="2160"/>
          </w:tcPr>
          <w:p>
            <w:r>
              <w:t>Broad-Spectrum (Enteric)</w:t>
            </w:r>
          </w:p>
        </w:tc>
        <w:tc>
          <w:tcPr>
            <w:tcW w:type="dxa" w:w="2160"/>
          </w:tcPr>
          <w:p>
            <w:r>
              <w:t>0.7435</w:t>
            </w:r>
          </w:p>
        </w:tc>
        <w:tc>
          <w:tcPr>
            <w:tcW w:type="dxa" w:w="2160"/>
          </w:tcPr>
          <w:p>
            <w:r>
              <w:t>Transcriptomic-only</w:t>
            </w:r>
          </w:p>
        </w:tc>
      </w:tr>
    </w:tbl>
    <w:p>
      <w:pPr>
        <w:pStyle w:val="Heading1"/>
      </w:pPr>
      <w:r>
        <w:br/>
        <w:t>METHODS &amp; INTEGRITY</w:t>
        <w:br/>
      </w:r>
    </w:p>
    <w:p>
      <w:r>
        <w:t>Full methodological transparency is maintained. Data sources include PMID: 20018727 and PMID: 25261934. Bioinformatics processing utilized PyTorch, RDKit, and NetworkX. Environment reproducibility is ensured via Docker (v4.0 Container).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