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E8F84"/>
          <w:sz w:val="44"/>
        </w:rPr>
        <w:t>Complete Clinical AI Agent Live Demo Prompt Pack</w:t>
      </w:r>
    </w:p>
    <w:p>
      <w:r>
        <w:rPr>
          <w:rFonts w:ascii="Arial" w:hAnsi="Arial"/>
          <w:i/>
          <w:color w:val="334155"/>
          <w:sz w:val="24"/>
        </w:rPr>
        <w:t>3 to 4 Clinical Test Scenarios &amp; Expected Outputs for All 8 Agents in the Gallery</w:t>
      </w:r>
    </w:p>
    <w:p>
      <w:pPr>
        <w:spacing w:after="200"/>
      </w:pPr>
    </w:p>
    <w:p>
      <w:r>
        <w:rPr>
          <w:rFonts w:ascii="Arial" w:hAnsi="Arial"/>
          <w:b/>
          <w:color w:val="0F172A"/>
          <w:sz w:val="30"/>
        </w:rPr>
        <w:t>1. GuideBot — Grounding, Citation &amp; Refusal Agent</w:t>
      </w:r>
    </w:p>
    <w:p>
      <w:pPr>
        <w:spacing w:after="120"/>
      </w:pPr>
      <w:r>
        <w:rPr>
          <w:rFonts w:ascii="Arial" w:hAnsi="Arial"/>
          <w:i/>
          <w:color w:val="0E8F84"/>
          <w:sz w:val="21"/>
        </w:rPr>
        <w:t>Capability: Grounding (Retrieval, Citation, Refusal)</w:t>
      </w:r>
    </w:p>
    <w:p>
      <w:pPr>
        <w:spacing w:before="120" w:after="40"/>
      </w:pPr>
      <w:r>
        <w:rPr>
          <w:rFonts w:ascii="Arial" w:hAnsi="Arial"/>
          <w:b/>
          <w:color w:val="0F172A"/>
          <w:sz w:val="23"/>
        </w:rPr>
        <w:t>Scenario: In-Scope Guideline Question (TB Regimen)</w:t>
      </w:r>
    </w:p>
    <w:p>
      <w:pPr>
        <w:spacing w:after="20"/>
        <w:ind w:left="288"/>
      </w:pPr>
      <w:r>
        <w:rPr>
          <w:b/>
          <w:sz w:val="20"/>
        </w:rPr>
        <w:t xml:space="preserve">Question: </w:t>
      </w:r>
      <w:r>
        <w:rPr>
          <w:sz w:val="20"/>
        </w:rPr>
        <w:t>What is the treatment regimen for drug-sensitive TB?</w:t>
      </w:r>
    </w:p>
    <w:p>
      <w:pPr>
        <w:spacing w:before="60" w:after="20"/>
        <w:ind w:left="288"/>
      </w:pPr>
      <w:r>
        <w:rPr>
          <w:b/>
          <w:color w:val="B91C1C"/>
          <w:sz w:val="20"/>
        </w:rPr>
        <w:t>Expected Agent Output:</w:t>
      </w:r>
    </w:p>
    <w:p>
      <w:pPr>
        <w:spacing w:after="20"/>
        <w:ind w:left="576"/>
      </w:pPr>
      <w:r>
        <w:rPr>
          <w:b/>
          <w:sz w:val="19"/>
        </w:rPr>
        <w:t>Banner: [OK] Answered from the guidelines · relevance 100%</w:t>
      </w:r>
    </w:p>
    <w:p>
      <w:pPr>
        <w:spacing w:after="20"/>
        <w:ind w:left="576"/>
      </w:pPr>
      <w:r>
        <w:rPr>
          <w:sz w:val="19"/>
        </w:rPr>
        <w:t>• Citation: Section T3 (NTEP Treatment Guidelines)</w:t>
      </w:r>
    </w:p>
    <w:p>
      <w:pPr>
        <w:spacing w:after="20"/>
        <w:ind w:left="576"/>
      </w:pPr>
      <w:r>
        <w:rPr>
          <w:sz w:val="19"/>
        </w:rPr>
        <w:t>• Output: 2 months HRZE intensive phase + 4 months HRE continuation phase.</w:t>
      </w:r>
    </w:p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3"/>
        </w:rPr>
        <w:t>Scenario: In-Scope Guideline Question (Vaccination Schedule)</w:t>
      </w:r>
    </w:p>
    <w:p>
      <w:pPr>
        <w:spacing w:after="20"/>
        <w:ind w:left="288"/>
      </w:pPr>
      <w:r>
        <w:rPr>
          <w:b/>
          <w:sz w:val="20"/>
        </w:rPr>
        <w:t xml:space="preserve">Question: </w:t>
      </w:r>
      <w:r>
        <w:rPr>
          <w:sz w:val="20"/>
        </w:rPr>
        <w:t>When is the measles-rubella second dose given?</w:t>
      </w:r>
    </w:p>
    <w:p>
      <w:pPr>
        <w:spacing w:before="60" w:after="20"/>
        <w:ind w:left="288"/>
      </w:pPr>
      <w:r>
        <w:rPr>
          <w:b/>
          <w:color w:val="B91C1C"/>
          <w:sz w:val="20"/>
        </w:rPr>
        <w:t>Expected Agent Output:</w:t>
      </w:r>
    </w:p>
    <w:p>
      <w:pPr>
        <w:spacing w:after="20"/>
        <w:ind w:left="576"/>
      </w:pPr>
      <w:r>
        <w:rPr>
          <w:b/>
          <w:sz w:val="19"/>
        </w:rPr>
        <w:t>Banner: [OK] Answered from the guidelines · relevance 100%</w:t>
      </w:r>
    </w:p>
    <w:p>
      <w:pPr>
        <w:spacing w:after="20"/>
        <w:ind w:left="576"/>
      </w:pPr>
      <w:r>
        <w:rPr>
          <w:sz w:val="19"/>
        </w:rPr>
        <w:t>• Citation: Section S4 (Universal Immunization Programme)</w:t>
      </w:r>
    </w:p>
    <w:p>
      <w:pPr>
        <w:spacing w:after="20"/>
        <w:ind w:left="576"/>
      </w:pPr>
      <w:r>
        <w:rPr>
          <w:sz w:val="19"/>
        </w:rPr>
        <w:t>• Output: Measles-Rubella (MR) 2nd dose at 16 to 24 months of age.</w:t>
      </w:r>
    </w:p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3"/>
        </w:rPr>
        <w:t>Scenario: Out-of-Scope Question (Deliberate Guardrail Refusal)</w:t>
      </w:r>
    </w:p>
    <w:p>
      <w:pPr>
        <w:spacing w:after="20"/>
        <w:ind w:left="288"/>
      </w:pPr>
      <w:r>
        <w:rPr>
          <w:b/>
          <w:sz w:val="20"/>
        </w:rPr>
        <w:t xml:space="preserve">Question: </w:t>
      </w:r>
      <w:r>
        <w:rPr>
          <w:sz w:val="20"/>
        </w:rPr>
        <w:t>What is the dose of adrenaline in cardiac arrest?</w:t>
      </w:r>
    </w:p>
    <w:p>
      <w:pPr>
        <w:spacing w:before="60" w:after="20"/>
        <w:ind w:left="288"/>
      </w:pPr>
      <w:r>
        <w:rPr>
          <w:b/>
          <w:color w:val="B91C1C"/>
          <w:sz w:val="20"/>
        </w:rPr>
        <w:t>Expected Agent Output:</w:t>
      </w:r>
    </w:p>
    <w:p>
      <w:pPr>
        <w:spacing w:after="20"/>
        <w:ind w:left="576"/>
      </w:pPr>
      <w:r>
        <w:rPr>
          <w:b/>
          <w:sz w:val="19"/>
        </w:rPr>
        <w:t>Banner: [REFUSED] REFUSED — the agent declined rather than guessed</w:t>
      </w:r>
    </w:p>
    <w:p>
      <w:pPr>
        <w:spacing w:after="20"/>
        <w:ind w:left="576"/>
      </w:pPr>
      <w:r>
        <w:rPr>
          <w:sz w:val="19"/>
        </w:rPr>
        <w:t>• Relevance score: 0.14 (Below threshold 0.30)</w:t>
      </w:r>
    </w:p>
    <w:p>
      <w:pPr>
        <w:spacing w:after="20"/>
        <w:ind w:left="576"/>
      </w:pPr>
      <w:r>
        <w:rPr>
          <w:sz w:val="19"/>
        </w:rPr>
        <w:t>• Action: Refuses locally before calling model.</w:t>
      </w:r>
    </w:p>
    <w:p>
      <w:pPr>
        <w:spacing w:after="80"/>
      </w:pPr>
    </w:p>
    <w:p>
      <w:r>
        <w:rPr>
          <w:rFonts w:ascii="Arial" w:hAnsi="Arial"/>
          <w:b/>
          <w:color w:val="0F172A"/>
          <w:sz w:val="30"/>
        </w:rPr>
        <w:t>2. DischargeDraft — Structured Generation &amp; Privacy Scan Agent</w:t>
      </w:r>
    </w:p>
    <w:p>
      <w:pPr>
        <w:spacing w:after="120"/>
      </w:pPr>
      <w:r>
        <w:rPr>
          <w:rFonts w:ascii="Arial" w:hAnsi="Arial"/>
          <w:i/>
          <w:color w:val="0E8F84"/>
          <w:sz w:val="21"/>
        </w:rPr>
        <w:t>Capability: Schema-Constrained Generation &amp; Local Privacy Scan</w:t>
      </w:r>
    </w:p>
    <w:p>
      <w:pPr>
        <w:spacing w:before="120" w:after="40"/>
      </w:pPr>
      <w:r>
        <w:rPr>
          <w:rFonts w:ascii="Arial" w:hAnsi="Arial"/>
          <w:b/>
          <w:color w:val="0F172A"/>
          <w:sz w:val="23"/>
        </w:rPr>
        <w:t>Scenario: Clean Inpatient Ward Notes</w:t>
      </w:r>
    </w:p>
    <w:p>
      <w:pPr>
        <w:spacing w:after="20"/>
        <w:ind w:left="288"/>
      </w:pPr>
      <w:r>
        <w:rPr>
          <w:b/>
          <w:sz w:val="20"/>
        </w:rPr>
        <w:t xml:space="preserve">Ward Notes Input: </w:t>
      </w:r>
      <w:r>
        <w:rPr>
          <w:sz w:val="20"/>
        </w:rPr>
        <w:t>5-day pneumonia + DM2 inpatient ward notes</w:t>
      </w:r>
    </w:p>
    <w:p>
      <w:pPr>
        <w:spacing w:before="60" w:after="20"/>
        <w:ind w:left="288"/>
      </w:pPr>
      <w:r>
        <w:rPr>
          <w:b/>
          <w:color w:val="B91C1C"/>
          <w:sz w:val="20"/>
        </w:rPr>
        <w:t>Expected Agent Output:</w:t>
      </w:r>
    </w:p>
    <w:p>
      <w:pPr>
        <w:spacing w:after="20"/>
        <w:ind w:left="576"/>
      </w:pPr>
      <w:r>
        <w:rPr>
          <w:b/>
          <w:sz w:val="19"/>
        </w:rPr>
        <w:t>Banner: [OK] Schema check passed — all 8 required sections present</w:t>
      </w:r>
    </w:p>
    <w:p>
      <w:pPr>
        <w:spacing w:after="20"/>
        <w:ind w:left="576"/>
      </w:pPr>
      <w:r>
        <w:rPr>
          <w:sz w:val="19"/>
        </w:rPr>
        <w:t>• Generates structured summary under 8 validated section headings.</w:t>
      </w:r>
    </w:p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3"/>
        </w:rPr>
        <w:t>Scenario: Ward Notes Containing Patient Identifiers</w:t>
      </w:r>
    </w:p>
    <w:p>
      <w:pPr>
        <w:spacing w:after="20"/>
        <w:ind w:left="288"/>
      </w:pPr>
      <w:r>
        <w:rPr>
          <w:b/>
          <w:sz w:val="20"/>
        </w:rPr>
        <w:t xml:space="preserve">Ward Notes Input: </w:t>
      </w:r>
      <w:r>
        <w:rPr>
          <w:sz w:val="20"/>
        </w:rPr>
        <w:t>Ward notes with name, phone 9845012345, UHID 884213, DOB</w:t>
      </w:r>
    </w:p>
    <w:p>
      <w:pPr>
        <w:spacing w:before="60" w:after="20"/>
        <w:ind w:left="288"/>
      </w:pPr>
      <w:r>
        <w:rPr>
          <w:b/>
          <w:color w:val="B91C1C"/>
          <w:sz w:val="20"/>
        </w:rPr>
        <w:t>Expected Agent Output:</w:t>
      </w:r>
    </w:p>
    <w:p>
      <w:pPr>
        <w:spacing w:after="20"/>
        <w:ind w:left="576"/>
      </w:pPr>
      <w:r>
        <w:rPr>
          <w:b/>
          <w:sz w:val="19"/>
        </w:rPr>
        <w:t>Banner: [WARN] Identifier check failed — do not send this text to any AI service</w:t>
      </w:r>
    </w:p>
    <w:p>
      <w:pPr>
        <w:spacing w:after="20"/>
        <w:ind w:left="576"/>
      </w:pPr>
      <w:r>
        <w:rPr>
          <w:sz w:val="19"/>
        </w:rPr>
        <w:t>• Local Privacy Violations: Phone, Email, MRN/UHID, and DOB flagged in code.</w:t>
      </w:r>
    </w:p>
    <w:p>
      <w:pPr>
        <w:spacing w:after="80"/>
      </w:pPr>
    </w:p>
    <w:p>
      <w:r>
        <w:rPr>
          <w:rFonts w:ascii="Arial" w:hAnsi="Arial"/>
          <w:b/>
          <w:color w:val="0F172A"/>
          <w:sz w:val="30"/>
        </w:rPr>
        <w:t>3. TriageAssist — The Agentic Loop &amp; Red-Flag Escalation Agent</w:t>
      </w:r>
    </w:p>
    <w:p>
      <w:pPr>
        <w:spacing w:after="120"/>
      </w:pPr>
      <w:r>
        <w:rPr>
          <w:rFonts w:ascii="Arial" w:hAnsi="Arial"/>
          <w:i/>
          <w:color w:val="0E8F84"/>
          <w:sz w:val="21"/>
        </w:rPr>
        <w:t>Capability: Multi-Turn Loop &amp; Red-Flag Safety Escalation</w:t>
      </w:r>
    </w:p>
    <w:p>
      <w:pPr>
        <w:spacing w:before="120" w:after="40"/>
      </w:pPr>
      <w:r>
        <w:rPr>
          <w:rFonts w:ascii="Arial" w:hAnsi="Arial"/>
          <w:b/>
          <w:color w:val="0F172A"/>
          <w:sz w:val="23"/>
        </w:rPr>
        <w:t>Scenario: Immediate Escalation (Acute Chest Pain / ACS)</w:t>
      </w:r>
    </w:p>
    <w:p>
      <w:pPr>
        <w:spacing w:after="20"/>
        <w:ind w:left="288"/>
      </w:pPr>
      <w:r>
        <w:rPr>
          <w:b/>
          <w:sz w:val="20"/>
        </w:rPr>
        <w:t xml:space="preserve">Presenting Complaint: </w:t>
      </w:r>
      <w:r>
        <w:rPr>
          <w:sz w:val="20"/>
        </w:rPr>
        <w:t>45 year old man, chest pain since 2 hours, sweating</w:t>
      </w:r>
    </w:p>
    <w:p>
      <w:pPr>
        <w:spacing w:before="60" w:after="20"/>
        <w:ind w:left="288"/>
      </w:pPr>
      <w:r>
        <w:rPr>
          <w:b/>
          <w:color w:val="B91C1C"/>
          <w:sz w:val="20"/>
        </w:rPr>
        <w:t>Expected Agent Output:</w:t>
      </w:r>
    </w:p>
    <w:p>
      <w:pPr>
        <w:spacing w:after="20"/>
        <w:ind w:left="576"/>
      </w:pPr>
      <w:r>
        <w:rPr>
          <w:b/>
          <w:sz w:val="19"/>
        </w:rPr>
        <w:t>Banner: [DANGER] ESCALATE NOW</w:t>
      </w:r>
    </w:p>
    <w:p>
      <w:pPr>
        <w:spacing w:after="20"/>
        <w:ind w:left="576"/>
      </w:pPr>
      <w:r>
        <w:rPr>
          <w:sz w:val="19"/>
        </w:rPr>
        <w:t>• Red Flags: Possible acute coronary syndrome</w:t>
      </w:r>
    </w:p>
    <w:p>
      <w:pPr>
        <w:spacing w:after="20"/>
        <w:ind w:left="576"/>
      </w:pPr>
      <w:r>
        <w:rPr>
          <w:sz w:val="19"/>
        </w:rPr>
        <w:t>• Action: Immediate 12-lead ECG, high-flow O2, chewable Aspirin 300mg.</w:t>
      </w:r>
    </w:p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3"/>
        </w:rPr>
        <w:t>Scenario: Benign Presentation (Multi-Turn Question Loop)</w:t>
      </w:r>
    </w:p>
    <w:p>
      <w:pPr>
        <w:spacing w:after="20"/>
        <w:ind w:left="288"/>
      </w:pPr>
      <w:r>
        <w:rPr>
          <w:b/>
          <w:sz w:val="20"/>
        </w:rPr>
        <w:t xml:space="preserve">Presenting Complaint: </w:t>
      </w:r>
      <w:r>
        <w:rPr>
          <w:sz w:val="20"/>
        </w:rPr>
        <w:t>mild ankle sprain after a fall yesterday</w:t>
      </w:r>
    </w:p>
    <w:p>
      <w:pPr>
        <w:spacing w:before="60" w:after="20"/>
        <w:ind w:left="288"/>
      </w:pPr>
      <w:r>
        <w:rPr>
          <w:b/>
          <w:color w:val="B91C1C"/>
          <w:sz w:val="20"/>
        </w:rPr>
        <w:t>Expected Agent Output:</w:t>
      </w:r>
    </w:p>
    <w:p>
      <w:pPr>
        <w:spacing w:after="20"/>
        <w:ind w:left="576"/>
      </w:pPr>
      <w:r>
        <w:rPr>
          <w:b/>
          <w:sz w:val="19"/>
        </w:rPr>
        <w:t>Banner: Loops 3 turns asking follow-ups, then [OK] No red flags</w:t>
      </w:r>
    </w:p>
    <w:p>
      <w:pPr>
        <w:spacing w:after="20"/>
        <w:ind w:left="576"/>
      </w:pPr>
      <w:r>
        <w:rPr>
          <w:sz w:val="19"/>
        </w:rPr>
        <w:t>• Turn 1-3: Asks weight-bearing, numbness, swelling.</w:t>
      </w:r>
    </w:p>
    <w:p>
      <w:pPr>
        <w:spacing w:after="20"/>
        <w:ind w:left="576"/>
      </w:pPr>
      <w:r>
        <w:rPr>
          <w:sz w:val="19"/>
        </w:rPr>
        <w:t>• Final: Recommends RICE protocol.</w:t>
      </w:r>
    </w:p>
    <w:p>
      <w:pPr>
        <w:spacing w:after="80"/>
      </w:pPr>
    </w:p>
    <w:p>
      <w:r>
        <w:rPr>
          <w:rFonts w:ascii="Arial" w:hAnsi="Arial"/>
          <w:b/>
          <w:color w:val="0F172A"/>
          <w:sz w:val="30"/>
        </w:rPr>
        <w:t>4. ScreenMate — Batch Tool Use &amp; Scale Agent</w:t>
      </w:r>
    </w:p>
    <w:p>
      <w:pPr>
        <w:spacing w:after="120"/>
      </w:pPr>
      <w:r>
        <w:rPr>
          <w:rFonts w:ascii="Arial" w:hAnsi="Arial"/>
          <w:i/>
          <w:color w:val="0E8F84"/>
          <w:sz w:val="21"/>
        </w:rPr>
        <w:t>Capability: Tool Use at Scale &amp; Machine-Readable JSON Output</w:t>
      </w:r>
    </w:p>
    <w:p>
      <w:pPr>
        <w:spacing w:before="120" w:after="40"/>
      </w:pPr>
      <w:r>
        <w:rPr>
          <w:rFonts w:ascii="Arial" w:hAnsi="Arial"/>
          <w:b/>
          <w:color w:val="0F172A"/>
          <w:sz w:val="23"/>
        </w:rPr>
        <w:t>Scenario: Systematic Review Screening (Hypertension)</w:t>
      </w:r>
    </w:p>
    <w:p>
      <w:pPr>
        <w:spacing w:after="20"/>
        <w:ind w:left="288"/>
      </w:pPr>
      <w:r>
        <w:rPr>
          <w:b/>
          <w:sz w:val="20"/>
        </w:rPr>
        <w:t xml:space="preserve">Criteria: </w:t>
      </w:r>
      <w:r>
        <w:rPr>
          <w:sz w:val="20"/>
        </w:rPr>
        <w:t>Adult primary care BP trials</w:t>
      </w:r>
    </w:p>
    <w:p>
      <w:pPr>
        <w:spacing w:after="20"/>
        <w:ind w:left="288"/>
      </w:pPr>
      <w:r>
        <w:rPr>
          <w:b/>
          <w:sz w:val="20"/>
        </w:rPr>
        <w:t xml:space="preserve">Input: </w:t>
      </w:r>
      <w:r>
        <w:rPr>
          <w:sz w:val="20"/>
        </w:rPr>
        <w:t>6 abstracts (A1 to A6)</w:t>
      </w:r>
    </w:p>
    <w:p>
      <w:pPr>
        <w:spacing w:before="60" w:after="20"/>
        <w:ind w:left="288"/>
      </w:pPr>
      <w:r>
        <w:rPr>
          <w:b/>
          <w:color w:val="B91C1C"/>
          <w:sz w:val="20"/>
        </w:rPr>
        <w:t>Expected Agent Output:</w:t>
      </w:r>
    </w:p>
    <w:p>
      <w:pPr>
        <w:spacing w:after="20"/>
        <w:ind w:left="576"/>
      </w:pPr>
      <w:r>
        <w:rPr>
          <w:b/>
          <w:sz w:val="19"/>
        </w:rPr>
        <w:t>Banner: Screened: 6 | Include: 2 | Exclude: 2 | Unclear: 2</w:t>
      </w:r>
    </w:p>
    <w:p>
      <w:pPr>
        <w:spacing w:after="20"/>
        <w:ind w:left="576"/>
      </w:pPr>
      <w:r>
        <w:rPr>
          <w:sz w:val="19"/>
        </w:rPr>
        <w:t>• Output: Machine-readable JSON table with inclusion/exclusion verdicts.</w:t>
      </w:r>
    </w:p>
    <w:p>
      <w:pPr>
        <w:spacing w:after="80"/>
      </w:pPr>
    </w:p>
    <w:p>
      <w:r>
        <w:rPr>
          <w:rFonts w:ascii="Arial" w:hAnsi="Arial"/>
          <w:b/>
          <w:color w:val="0F172A"/>
          <w:sz w:val="30"/>
        </w:rPr>
        <w:t>5. PharmGuard — Drug Interaction &amp; Dosing Guardrail Agent</w:t>
      </w:r>
    </w:p>
    <w:p>
      <w:pPr>
        <w:spacing w:after="120"/>
      </w:pPr>
      <w:r>
        <w:rPr>
          <w:rFonts w:ascii="Arial" w:hAnsi="Arial"/>
          <w:i/>
          <w:color w:val="0E8F84"/>
          <w:sz w:val="21"/>
        </w:rPr>
        <w:t>Capability: Deterministic Safety Overrides &amp; Drug Safety Guardrails</w:t>
      </w:r>
    </w:p>
    <w:p>
      <w:pPr>
        <w:spacing w:before="120" w:after="40"/>
      </w:pPr>
      <w:r>
        <w:rPr>
          <w:rFonts w:ascii="Arial" w:hAnsi="Arial"/>
          <w:b/>
          <w:color w:val="0F172A"/>
          <w:sz w:val="23"/>
        </w:rPr>
        <w:t>Scenario: High-Risk GI Bleeding Interaction (Warfarin + NSAID)</w:t>
      </w:r>
    </w:p>
    <w:p>
      <w:pPr>
        <w:spacing w:after="20"/>
        <w:ind w:left="288"/>
      </w:pPr>
      <w:r>
        <w:rPr>
          <w:b/>
          <w:sz w:val="20"/>
        </w:rPr>
        <w:t xml:space="preserve">Meds: </w:t>
      </w:r>
      <w:r>
        <w:rPr>
          <w:sz w:val="20"/>
        </w:rPr>
        <w:t>Warfarin 5mg, Ibuprofen 400mg TID, Amlodipine 5mg</w:t>
      </w:r>
    </w:p>
    <w:p>
      <w:pPr>
        <w:spacing w:after="20"/>
        <w:ind w:left="288"/>
      </w:pPr>
      <w:r>
        <w:rPr>
          <w:b/>
          <w:sz w:val="20"/>
        </w:rPr>
        <w:t xml:space="preserve">Renal eGFR: </w:t>
      </w:r>
      <w:r>
        <w:rPr>
          <w:sz w:val="20"/>
        </w:rPr>
        <w:t>75 mL/min/1.73m²</w:t>
      </w:r>
    </w:p>
    <w:p>
      <w:pPr>
        <w:spacing w:before="60" w:after="20"/>
        <w:ind w:left="288"/>
      </w:pPr>
      <w:r>
        <w:rPr>
          <w:b/>
          <w:color w:val="B91C1C"/>
          <w:sz w:val="20"/>
        </w:rPr>
        <w:t>Expected Agent Output:</w:t>
      </w:r>
    </w:p>
    <w:p>
      <w:pPr>
        <w:spacing w:after="20"/>
        <w:ind w:left="576"/>
      </w:pPr>
      <w:r>
        <w:rPr>
          <w:b/>
          <w:sz w:val="19"/>
        </w:rPr>
        <w:t>Banner: HIGH-RISK CONTRAINDICATION DETECTED — LOCAL GUARDRAIL OVERRIDE</w:t>
      </w:r>
    </w:p>
    <w:p>
      <w:pPr>
        <w:spacing w:after="20"/>
        <w:ind w:left="576"/>
      </w:pPr>
      <w:r>
        <w:rPr>
          <w:sz w:val="19"/>
        </w:rPr>
        <w:t>• Flag: [CONTRAINDICATION] High GI hemorrhage risk with Warfarin + NSAID.</w:t>
      </w:r>
    </w:p>
    <w:p>
      <w:pPr>
        <w:spacing w:after="20"/>
        <w:ind w:left="576"/>
      </w:pPr>
      <w:r>
        <w:rPr>
          <w:sz w:val="19"/>
        </w:rPr>
        <w:t>• Action: Stop Ibuprofen; substitute Paracetamol 500mg PRN.</w:t>
      </w:r>
    </w:p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3"/>
        </w:rPr>
        <w:t>Scenario: Renal Contraindication (Metformin in Stage 4 CKD)</w:t>
      </w:r>
    </w:p>
    <w:p>
      <w:pPr>
        <w:spacing w:after="20"/>
        <w:ind w:left="288"/>
      </w:pPr>
      <w:r>
        <w:rPr>
          <w:b/>
          <w:sz w:val="20"/>
        </w:rPr>
        <w:t xml:space="preserve">Meds: </w:t>
      </w:r>
      <w:r>
        <w:rPr>
          <w:sz w:val="20"/>
        </w:rPr>
        <w:t>Metformin 1000mg BID, Ramipril 5mg</w:t>
      </w:r>
    </w:p>
    <w:p>
      <w:pPr>
        <w:spacing w:after="20"/>
        <w:ind w:left="288"/>
      </w:pPr>
      <w:r>
        <w:rPr>
          <w:b/>
          <w:sz w:val="20"/>
        </w:rPr>
        <w:t xml:space="preserve">Renal eGFR: </w:t>
      </w:r>
      <w:r>
        <w:rPr>
          <w:sz w:val="20"/>
        </w:rPr>
        <w:t>25 mL/min/1.73m²</w:t>
      </w:r>
    </w:p>
    <w:p>
      <w:pPr>
        <w:spacing w:before="60" w:after="20"/>
        <w:ind w:left="288"/>
      </w:pPr>
      <w:r>
        <w:rPr>
          <w:b/>
          <w:color w:val="B91C1C"/>
          <w:sz w:val="20"/>
        </w:rPr>
        <w:t>Expected Agent Output:</w:t>
      </w:r>
    </w:p>
    <w:p>
      <w:pPr>
        <w:spacing w:after="20"/>
        <w:ind w:left="576"/>
      </w:pPr>
      <w:r>
        <w:rPr>
          <w:b/>
          <w:sz w:val="19"/>
        </w:rPr>
        <w:t>Banner: HIGH-RISK CONTRAINDICATION DETECTED</w:t>
      </w:r>
    </w:p>
    <w:p>
      <w:pPr>
        <w:spacing w:after="20"/>
        <w:ind w:left="576"/>
      </w:pPr>
      <w:r>
        <w:rPr>
          <w:sz w:val="19"/>
        </w:rPr>
        <w:t>• Flag: [RENAL CONTRAINDICATION] Metformin contraindicated when eGFR &lt; 30 (Lactic Acidosis risk).</w:t>
      </w:r>
    </w:p>
    <w:p>
      <w:pPr>
        <w:spacing w:after="20"/>
        <w:ind w:left="576"/>
      </w:pPr>
      <w:r>
        <w:rPr>
          <w:sz w:val="19"/>
        </w:rPr>
        <w:t>• Action: Discontinue Metformin; switch to Linagliptin.</w:t>
      </w:r>
    </w:p>
    <w:p>
      <w:pPr>
        <w:spacing w:after="80"/>
      </w:pPr>
    </w:p>
    <w:p>
      <w:r>
        <w:rPr>
          <w:rFonts w:ascii="Arial" w:hAnsi="Arial"/>
          <w:b/>
          <w:color w:val="0F172A"/>
          <w:sz w:val="30"/>
        </w:rPr>
        <w:t>6. LabAlert — Clinical Lab Interpreter &amp; Panic Value Escalator</w:t>
      </w:r>
    </w:p>
    <w:p>
      <w:pPr>
        <w:spacing w:after="120"/>
      </w:pPr>
      <w:r>
        <w:rPr>
          <w:rFonts w:ascii="Arial" w:hAnsi="Arial"/>
          <w:i/>
          <w:color w:val="0E8F84"/>
          <w:sz w:val="21"/>
        </w:rPr>
        <w:t>Capability: Numerical Range Boundary Check &amp; Critical Value Escalation</w:t>
      </w:r>
    </w:p>
    <w:p>
      <w:pPr>
        <w:spacing w:before="120" w:after="40"/>
      </w:pPr>
      <w:r>
        <w:rPr>
          <w:rFonts w:ascii="Arial" w:hAnsi="Arial"/>
          <w:b/>
          <w:color w:val="0F172A"/>
          <w:sz w:val="23"/>
        </w:rPr>
        <w:t>Scenario: Severe Hyperkalemia &amp; Myocardial Injury (Panic High)</w:t>
      </w:r>
    </w:p>
    <w:p>
      <w:pPr>
        <w:spacing w:after="20"/>
        <w:ind w:left="288"/>
      </w:pPr>
      <w:r>
        <w:rPr>
          <w:b/>
          <w:sz w:val="20"/>
        </w:rPr>
        <w:t xml:space="preserve">Lab Report: </w:t>
      </w:r>
      <w:r>
        <w:rPr>
          <w:sz w:val="20"/>
        </w:rPr>
        <w:t>Potassium: 6.4 mEq/L, Troponin I: 0.12 ng/mL, Creatinine: 2.8 mg/dL</w:t>
      </w:r>
    </w:p>
    <w:p>
      <w:pPr>
        <w:spacing w:before="60" w:after="20"/>
        <w:ind w:left="288"/>
      </w:pPr>
      <w:r>
        <w:rPr>
          <w:b/>
          <w:color w:val="B91C1C"/>
          <w:sz w:val="20"/>
        </w:rPr>
        <w:t>Expected Agent Output:</w:t>
      </w:r>
    </w:p>
    <w:p>
      <w:pPr>
        <w:spacing w:after="20"/>
        <w:ind w:left="576"/>
      </w:pPr>
      <w:r>
        <w:rPr>
          <w:b/>
          <w:sz w:val="19"/>
        </w:rPr>
        <w:t>Banner: CRITICAL LAB PANIC VALUES IDENTIFIED — IMMEDIATE ACTION REQUIRED</w:t>
      </w:r>
    </w:p>
    <w:p>
      <w:pPr>
        <w:spacing w:after="20"/>
        <w:ind w:left="576"/>
      </w:pPr>
      <w:r>
        <w:rPr>
          <w:sz w:val="19"/>
        </w:rPr>
        <w:t>• Panic Flags: Potassium 6.4 mEq/L (HIGH), Troponin 0.12 ng/mL (HIGH).</w:t>
      </w:r>
    </w:p>
    <w:p>
      <w:pPr>
        <w:spacing w:after="20"/>
        <w:ind w:left="576"/>
      </w:pPr>
      <w:r>
        <w:rPr>
          <w:sz w:val="19"/>
        </w:rPr>
        <w:t>• Action Plan: Stat ECG, IV Calcium Gluconate, Insulin-Glucose shift.</w:t>
      </w:r>
    </w:p>
    <w:p>
      <w:pPr>
        <w:spacing w:after="80"/>
      </w:pPr>
    </w:p>
    <w:p>
      <w:r>
        <w:rPr>
          <w:rFonts w:ascii="Arial" w:hAnsi="Arial"/>
          <w:b/>
          <w:color w:val="0F172A"/>
          <w:sz w:val="30"/>
        </w:rPr>
        <w:t>7. TrialMatch — Clinical Trial Eligibility Screening Agent</w:t>
      </w:r>
    </w:p>
    <w:p>
      <w:pPr>
        <w:spacing w:after="120"/>
      </w:pPr>
      <w:r>
        <w:rPr>
          <w:rFonts w:ascii="Arial" w:hAnsi="Arial"/>
          <w:i/>
          <w:color w:val="0E8F84"/>
          <w:sz w:val="21"/>
        </w:rPr>
        <w:t>Capability: Multi-Criteria Protocol Matching &amp; Reasoning Matrix</w:t>
      </w:r>
    </w:p>
    <w:p>
      <w:pPr>
        <w:spacing w:before="120" w:after="40"/>
      </w:pPr>
      <w:r>
        <w:rPr>
          <w:rFonts w:ascii="Arial" w:hAnsi="Arial"/>
          <w:b/>
          <w:color w:val="0F172A"/>
          <w:sz w:val="23"/>
        </w:rPr>
        <w:t>Scenario: Ineligible Patient (Renal Exclusion Violation)</w:t>
      </w:r>
    </w:p>
    <w:p>
      <w:pPr>
        <w:spacing w:after="20"/>
        <w:ind w:left="288"/>
      </w:pPr>
      <w:r>
        <w:rPr>
          <w:b/>
          <w:sz w:val="20"/>
        </w:rPr>
        <w:t xml:space="preserve">Patient: </w:t>
      </w:r>
      <w:r>
        <w:rPr>
          <w:sz w:val="20"/>
        </w:rPr>
        <w:t>58yo male, DM2, HbA1c 8.6%, eGFR 24 mL/min/1.73m²</w:t>
      </w:r>
    </w:p>
    <w:p>
      <w:pPr>
        <w:spacing w:after="20"/>
        <w:ind w:left="288"/>
      </w:pPr>
      <w:r>
        <w:rPr>
          <w:b/>
          <w:sz w:val="20"/>
        </w:rPr>
        <w:t xml:space="preserve">Criteria: </w:t>
      </w:r>
      <w:r>
        <w:rPr>
          <w:sz w:val="20"/>
        </w:rPr>
        <w:t>Exclude eGFR &lt; 30</w:t>
      </w:r>
    </w:p>
    <w:p>
      <w:pPr>
        <w:spacing w:before="60" w:after="20"/>
        <w:ind w:left="288"/>
      </w:pPr>
      <w:r>
        <w:rPr>
          <w:b/>
          <w:color w:val="B91C1C"/>
          <w:sz w:val="20"/>
        </w:rPr>
        <w:t>Expected Agent Output:</w:t>
      </w:r>
    </w:p>
    <w:p>
      <w:pPr>
        <w:spacing w:after="20"/>
        <w:ind w:left="576"/>
      </w:pPr>
      <w:r>
        <w:rPr>
          <w:b/>
          <w:sz w:val="19"/>
        </w:rPr>
        <w:t>Banner: PATIENT IS INELIGIBLE — CRITERIA UNMET OR EXCLUSION MET</w:t>
      </w:r>
    </w:p>
    <w:p>
      <w:pPr>
        <w:spacing w:after="20"/>
        <w:ind w:left="576"/>
      </w:pPr>
      <w:r>
        <w:rPr>
          <w:sz w:val="19"/>
        </w:rPr>
        <w:t>• Verdict: INELIGIBLE</w:t>
      </w:r>
    </w:p>
    <w:p>
      <w:pPr>
        <w:spacing w:after="20"/>
        <w:ind w:left="576"/>
      </w:pPr>
      <w:r>
        <w:rPr>
          <w:sz w:val="19"/>
        </w:rPr>
        <w:t>• Matrix: Age -&gt; MET, HbA1c -&gt; MET, Exclusion eGFR -&gt; UNMET.</w:t>
      </w:r>
    </w:p>
    <w:p>
      <w:pPr>
        <w:spacing w:after="80"/>
      </w:pPr>
    </w:p>
    <w:p>
      <w:r>
        <w:rPr>
          <w:rFonts w:ascii="Arial" w:hAnsi="Arial"/>
          <w:b/>
          <w:color w:val="0F172A"/>
          <w:sz w:val="30"/>
        </w:rPr>
        <w:t>8. DiffCheck — Differential Diagnosis &amp; Diagnostic Bias Safeguard Agent</w:t>
      </w:r>
    </w:p>
    <w:p>
      <w:pPr>
        <w:spacing w:after="120"/>
      </w:pPr>
      <w:r>
        <w:rPr>
          <w:rFonts w:ascii="Arial" w:hAnsi="Arial"/>
          <w:i/>
          <w:color w:val="0E8F84"/>
          <w:sz w:val="21"/>
        </w:rPr>
        <w:t>Capability: Red-Teaming &amp; Cognitive Debiasing (Anchoring Mitigation)</w:t>
      </w:r>
    </w:p>
    <w:p>
      <w:pPr>
        <w:spacing w:before="120" w:after="40"/>
      </w:pPr>
      <w:r>
        <w:rPr>
          <w:rFonts w:ascii="Arial" w:hAnsi="Arial"/>
          <w:b/>
          <w:color w:val="0F172A"/>
          <w:sz w:val="23"/>
        </w:rPr>
        <w:t>Scenario: Pleuritic Chest Pain in Young Female on OCP (Anchoring Risk)</w:t>
      </w:r>
    </w:p>
    <w:p>
      <w:pPr>
        <w:spacing w:after="20"/>
        <w:ind w:left="288"/>
      </w:pPr>
      <w:r>
        <w:rPr>
          <w:b/>
          <w:sz w:val="20"/>
        </w:rPr>
        <w:t xml:space="preserve">Symptoms: </w:t>
      </w:r>
      <w:r>
        <w:rPr>
          <w:sz w:val="20"/>
        </w:rPr>
        <w:t>42yo female, sharp right pleuritic chest pain, HR 104, OCP user</w:t>
      </w:r>
    </w:p>
    <w:p>
      <w:pPr>
        <w:spacing w:after="20"/>
        <w:ind w:left="288"/>
      </w:pPr>
      <w:r>
        <w:rPr>
          <w:b/>
          <w:sz w:val="20"/>
        </w:rPr>
        <w:t xml:space="preserve">Working Dx: </w:t>
      </w:r>
      <w:r>
        <w:rPr>
          <w:sz w:val="20"/>
        </w:rPr>
        <w:t>Musculoskeletal strain</w:t>
      </w:r>
    </w:p>
    <w:p>
      <w:pPr>
        <w:spacing w:before="60" w:after="20"/>
        <w:ind w:left="288"/>
      </w:pPr>
      <w:r>
        <w:rPr>
          <w:b/>
          <w:color w:val="B91C1C"/>
          <w:sz w:val="20"/>
        </w:rPr>
        <w:t>Expected Agent Output:</w:t>
      </w:r>
    </w:p>
    <w:p>
      <w:pPr>
        <w:spacing w:after="20"/>
        <w:ind w:left="576"/>
      </w:pPr>
      <w:r>
        <w:rPr>
          <w:b/>
          <w:sz w:val="19"/>
        </w:rPr>
        <w:t>Banner: MANDATORY SAFETY CHECKLIST: HIGH-RISK EMERGENCIES TO RULE OUT</w:t>
      </w:r>
    </w:p>
    <w:p>
      <w:pPr>
        <w:spacing w:after="20"/>
        <w:ind w:left="576"/>
      </w:pPr>
      <w:r>
        <w:rPr>
          <w:sz w:val="19"/>
        </w:rPr>
        <w:t>• Red Flags: Pulmonary Embolism (MUST-NOT-MISS), ACS, Aortic Dissection.</w:t>
      </w:r>
    </w:p>
    <w:p>
      <w:pPr>
        <w:spacing w:after="20"/>
        <w:ind w:left="576"/>
      </w:pPr>
      <w:r>
        <w:rPr>
          <w:sz w:val="19"/>
        </w:rPr>
        <w:t>• Debiasing: Challenges premature closure; mandates D-Dimer / CTPA.</w:t>
      </w:r>
    </w:p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