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E8F84"/>
          <w:sz w:val="44"/>
        </w:rPr>
        <w:t>Live Demo Clinical AI Agent Prompt Pack</w:t>
      </w:r>
    </w:p>
    <w:p>
      <w:r>
        <w:rPr>
          <w:rFonts w:ascii="Arial" w:hAnsi="Arial"/>
          <w:i/>
          <w:color w:val="334155"/>
          <w:sz w:val="26"/>
        </w:rPr>
        <w:t>3 to 4 Clinical Test Scenarios &amp; Expected Outputs for 4 New Agents</w:t>
      </w:r>
    </w:p>
    <w:p>
      <w:pPr>
        <w:spacing w:after="240"/>
      </w:pPr>
    </w:p>
    <w:p>
      <w:r>
        <w:rPr>
          <w:rFonts w:ascii="Arial" w:hAnsi="Arial"/>
          <w:b/>
          <w:color w:val="0F172A"/>
          <w:sz w:val="32"/>
        </w:rPr>
        <w:t>1. PharmGuard — Drug Interaction &amp; Dosing Guardrail Agent</w:t>
      </w:r>
    </w:p>
    <w:p>
      <w:pPr>
        <w:spacing w:after="160"/>
      </w:pPr>
      <w:r>
        <w:rPr>
          <w:rFonts w:ascii="Arial" w:hAnsi="Arial"/>
          <w:i/>
          <w:color w:val="0E8F84"/>
          <w:sz w:val="22"/>
        </w:rPr>
        <w:t>Capability: Deterministic Safety Overrides &amp; Drug Safety Guardrails</w:t>
      </w:r>
    </w:p>
    <w:p>
      <w:pPr>
        <w:spacing w:before="160" w:after="80"/>
      </w:pPr>
      <w:r>
        <w:rPr>
          <w:rFonts w:ascii="Arial" w:hAnsi="Arial"/>
          <w:b/>
          <w:color w:val="0F172A"/>
          <w:sz w:val="24"/>
        </w:rPr>
        <w:t>Scenario: High-Risk GI Bleeding Interaction (Warfarin + NSAID)</w:t>
      </w:r>
    </w:p>
    <w:p>
      <w:pPr>
        <w:spacing w:after="40"/>
        <w:ind w:left="288"/>
      </w:pPr>
      <w:r>
        <w:rPr>
          <w:b/>
          <w:sz w:val="21"/>
        </w:rPr>
        <w:t xml:space="preserve">Prescribed Medications: </w:t>
      </w:r>
      <w:r>
        <w:rPr>
          <w:sz w:val="21"/>
        </w:rPr>
        <w:t>Warfarin 5mg daily, Ibuprofen 400mg TID, Amlodipine 5mg daily</w:t>
      </w:r>
    </w:p>
    <w:p>
      <w:pPr>
        <w:spacing w:after="40"/>
        <w:ind w:left="288"/>
      </w:pPr>
      <w:r>
        <w:rPr>
          <w:b/>
          <w:sz w:val="21"/>
        </w:rPr>
        <w:t xml:space="preserve">Documented Allergies: </w:t>
      </w:r>
      <w:r>
        <w:rPr>
          <w:sz w:val="21"/>
        </w:rPr>
        <w:t>None</w:t>
      </w:r>
    </w:p>
    <w:p>
      <w:pPr>
        <w:spacing w:after="40"/>
        <w:ind w:left="288"/>
      </w:pPr>
      <w:r>
        <w:rPr>
          <w:b/>
          <w:sz w:val="21"/>
        </w:rPr>
        <w:t xml:space="preserve">Renal Function (eGFR): </w:t>
      </w:r>
      <w:r>
        <w:rPr>
          <w:sz w:val="21"/>
        </w:rPr>
        <w:t>75 mL/min/1.73m²</w:t>
      </w:r>
    </w:p>
    <w:p>
      <w:pPr>
        <w:spacing w:after="40"/>
        <w:ind w:left="288"/>
      </w:pPr>
      <w:r>
        <w:rPr>
          <w:b/>
          <w:sz w:val="21"/>
        </w:rPr>
        <w:t xml:space="preserve">Clinical Indication: </w:t>
      </w:r>
      <w:r>
        <w:rPr>
          <w:sz w:val="21"/>
        </w:rPr>
        <w:t>Atrial Fibrillation and Knee Osteoarthritis</w:t>
      </w:r>
    </w:p>
    <w:p>
      <w:pPr>
        <w:spacing w:before="80" w:after="40"/>
        <w:ind w:left="288"/>
      </w:pPr>
      <w:r>
        <w:rPr>
          <w:b/>
          <w:color w:val="B91C1C"/>
          <w:sz w:val="21"/>
        </w:rPr>
        <w:t>Expected Agent Output:</w:t>
      </w:r>
    </w:p>
    <w:p>
      <w:pPr>
        <w:spacing w:after="40"/>
        <w:ind w:left="576"/>
      </w:pPr>
      <w:r>
        <w:rPr>
          <w:b/>
          <w:sz w:val="20"/>
        </w:rPr>
        <w:t>Banner: HIGH-RISK CONTRAINDICATION DETECTED — LOCAL GUARDRAIL OVERRIDE</w:t>
      </w:r>
    </w:p>
    <w:p>
      <w:pPr>
        <w:spacing w:after="40"/>
        <w:ind w:left="576"/>
      </w:pPr>
      <w:r>
        <w:rPr>
          <w:sz w:val="20"/>
        </w:rPr>
        <w:t>• Local Safety Flag: [CONTRAINDICATION] High risk of severe gastrointestinal hemorrhage and major bleeding with co-administration of Warfarin and NSAID.</w:t>
      </w:r>
    </w:p>
    <w:p>
      <w:pPr>
        <w:spacing w:after="40"/>
        <w:ind w:left="576"/>
      </w:pPr>
      <w:r>
        <w:rPr>
          <w:sz w:val="20"/>
        </w:rPr>
        <w:t>• Actionable Advice: Discontinue Ibuprofen immediately; substitute topical analgesics or Paracetamol 500mg PRN.</w:t>
      </w:r>
    </w:p>
    <w:p>
      <w:pPr>
        <w:spacing w:after="120"/>
      </w:pPr>
    </w:p>
    <w:p>
      <w:pPr>
        <w:spacing w:before="160" w:after="80"/>
      </w:pPr>
      <w:r>
        <w:rPr>
          <w:rFonts w:ascii="Arial" w:hAnsi="Arial"/>
          <w:b/>
          <w:color w:val="0F172A"/>
          <w:sz w:val="24"/>
        </w:rPr>
        <w:t>Scenario: Renal Contraindication (Metformin in Stage 4 CKD)</w:t>
      </w:r>
    </w:p>
    <w:p>
      <w:pPr>
        <w:spacing w:after="40"/>
        <w:ind w:left="288"/>
      </w:pPr>
      <w:r>
        <w:rPr>
          <w:b/>
          <w:sz w:val="21"/>
        </w:rPr>
        <w:t xml:space="preserve">Prescribed Medications: </w:t>
      </w:r>
      <w:r>
        <w:rPr>
          <w:sz w:val="21"/>
        </w:rPr>
        <w:t>Metformin 1000mg BID, Ramipril 5mg daily, Atorvastatin 20mg daily</w:t>
      </w:r>
    </w:p>
    <w:p>
      <w:pPr>
        <w:spacing w:after="40"/>
        <w:ind w:left="288"/>
      </w:pPr>
      <w:r>
        <w:rPr>
          <w:b/>
          <w:sz w:val="21"/>
        </w:rPr>
        <w:t xml:space="preserve">Documented Allergies: </w:t>
      </w:r>
      <w:r>
        <w:rPr>
          <w:sz w:val="21"/>
        </w:rPr>
        <w:t>None</w:t>
      </w:r>
    </w:p>
    <w:p>
      <w:pPr>
        <w:spacing w:after="40"/>
        <w:ind w:left="288"/>
      </w:pPr>
      <w:r>
        <w:rPr>
          <w:b/>
          <w:sz w:val="21"/>
        </w:rPr>
        <w:t xml:space="preserve">Renal Function (eGFR): </w:t>
      </w:r>
      <w:r>
        <w:rPr>
          <w:sz w:val="21"/>
        </w:rPr>
        <w:t>25 mL/min/1.73m²</w:t>
      </w:r>
    </w:p>
    <w:p>
      <w:pPr>
        <w:spacing w:after="40"/>
        <w:ind w:left="288"/>
      </w:pPr>
      <w:r>
        <w:rPr>
          <w:b/>
          <w:sz w:val="21"/>
        </w:rPr>
        <w:t xml:space="preserve">Clinical Indication: </w:t>
      </w:r>
      <w:r>
        <w:rPr>
          <w:sz w:val="21"/>
        </w:rPr>
        <w:t>Type 2 Diabetes Mellitus with Chronic Kidney Disease</w:t>
      </w:r>
    </w:p>
    <w:p>
      <w:pPr>
        <w:spacing w:before="80" w:after="40"/>
        <w:ind w:left="288"/>
      </w:pPr>
      <w:r>
        <w:rPr>
          <w:b/>
          <w:color w:val="B91C1C"/>
          <w:sz w:val="21"/>
        </w:rPr>
        <w:t>Expected Agent Output:</w:t>
      </w:r>
    </w:p>
    <w:p>
      <w:pPr>
        <w:spacing w:after="40"/>
        <w:ind w:left="576"/>
      </w:pPr>
      <w:r>
        <w:rPr>
          <w:b/>
          <w:sz w:val="20"/>
        </w:rPr>
        <w:t>Banner: HIGH-RISK CONTRAINDICATION DETECTED</w:t>
      </w:r>
    </w:p>
    <w:p>
      <w:pPr>
        <w:spacing w:after="40"/>
        <w:ind w:left="576"/>
      </w:pPr>
      <w:r>
        <w:rPr>
          <w:sz w:val="20"/>
        </w:rPr>
        <w:t>• Local Safety Flag: [RENAL CONTRAINDICATION] Metformin contraindicated when eGFR &lt; 30 mL/min/1.73m² (Risk of Lactic Acidosis).</w:t>
      </w:r>
    </w:p>
    <w:p>
      <w:pPr>
        <w:spacing w:after="40"/>
        <w:ind w:left="576"/>
      </w:pPr>
      <w:r>
        <w:rPr>
          <w:sz w:val="20"/>
        </w:rPr>
        <w:t>• Actionable Advice: Stop Metformin; switch to Linagliptin 5mg daily or insulin titration.</w:t>
      </w:r>
    </w:p>
    <w:p>
      <w:pPr>
        <w:spacing w:after="120"/>
      </w:pPr>
    </w:p>
    <w:p>
      <w:pPr>
        <w:spacing w:before="160" w:after="80"/>
      </w:pPr>
      <w:r>
        <w:rPr>
          <w:rFonts w:ascii="Arial" w:hAnsi="Arial"/>
          <w:b/>
          <w:color w:val="0F172A"/>
          <w:sz w:val="24"/>
        </w:rPr>
        <w:t>Scenario: Documented Anaphylaxis Allergy Alert</w:t>
      </w:r>
    </w:p>
    <w:p>
      <w:pPr>
        <w:spacing w:after="40"/>
        <w:ind w:left="288"/>
      </w:pPr>
      <w:r>
        <w:rPr>
          <w:b/>
          <w:sz w:val="21"/>
        </w:rPr>
        <w:t xml:space="preserve">Prescribed Medications: </w:t>
      </w:r>
      <w:r>
        <w:rPr>
          <w:sz w:val="21"/>
        </w:rPr>
        <w:t>Amoxicillin 500mg TID, Paracetamol 650mg SOS</w:t>
      </w:r>
    </w:p>
    <w:p>
      <w:pPr>
        <w:spacing w:after="40"/>
        <w:ind w:left="288"/>
      </w:pPr>
      <w:r>
        <w:rPr>
          <w:b/>
          <w:sz w:val="21"/>
        </w:rPr>
        <w:t xml:space="preserve">Documented Allergies: </w:t>
      </w:r>
      <w:r>
        <w:rPr>
          <w:sz w:val="21"/>
        </w:rPr>
        <w:t>Penicillin (Anaphylaxis)</w:t>
      </w:r>
    </w:p>
    <w:p>
      <w:pPr>
        <w:spacing w:after="40"/>
        <w:ind w:left="288"/>
      </w:pPr>
      <w:r>
        <w:rPr>
          <w:b/>
          <w:sz w:val="21"/>
        </w:rPr>
        <w:t xml:space="preserve">Renal Function (eGFR): </w:t>
      </w:r>
      <w:r>
        <w:rPr>
          <w:sz w:val="21"/>
        </w:rPr>
        <w:t>90 mL/min/1.73m²</w:t>
      </w:r>
    </w:p>
    <w:p>
      <w:pPr>
        <w:spacing w:after="40"/>
        <w:ind w:left="288"/>
      </w:pPr>
      <w:r>
        <w:rPr>
          <w:b/>
          <w:sz w:val="21"/>
        </w:rPr>
        <w:t xml:space="preserve">Clinical Indication: </w:t>
      </w:r>
      <w:r>
        <w:rPr>
          <w:sz w:val="21"/>
        </w:rPr>
        <w:t>Acute Bacterial Sinusitis</w:t>
      </w:r>
    </w:p>
    <w:p>
      <w:pPr>
        <w:spacing w:before="80" w:after="40"/>
        <w:ind w:left="288"/>
      </w:pPr>
      <w:r>
        <w:rPr>
          <w:b/>
          <w:color w:val="B91C1C"/>
          <w:sz w:val="21"/>
        </w:rPr>
        <w:t>Expected Agent Output:</w:t>
      </w:r>
    </w:p>
    <w:p>
      <w:pPr>
        <w:spacing w:after="40"/>
        <w:ind w:left="576"/>
      </w:pPr>
      <w:r>
        <w:rPr>
          <w:b/>
          <w:sz w:val="20"/>
        </w:rPr>
        <w:t>Banner: HIGH-RISK CONTRAINDICATION DETECTED</w:t>
      </w:r>
    </w:p>
    <w:p>
      <w:pPr>
        <w:spacing w:after="40"/>
        <w:ind w:left="576"/>
      </w:pPr>
      <w:r>
        <w:rPr>
          <w:sz w:val="20"/>
        </w:rPr>
        <w:t>• Local Safety Flag: [ALLERGY CONTRAINDICATION] Patient has documented Penicillin allergy; prescribe alternative non-beta-lactam antibiotic.</w:t>
      </w:r>
    </w:p>
    <w:p>
      <w:pPr>
        <w:spacing w:after="40"/>
        <w:ind w:left="576"/>
      </w:pPr>
      <w:r>
        <w:rPr>
          <w:sz w:val="20"/>
        </w:rPr>
        <w:t>• Actionable Advice: Switch to Macrolide (Azithromycin 500mg daily).</w:t>
      </w:r>
    </w:p>
    <w:p>
      <w:pPr>
        <w:spacing w:after="120"/>
      </w:pPr>
    </w:p>
    <w:p>
      <w:pPr>
        <w:spacing w:before="160" w:after="80"/>
      </w:pPr>
      <w:r>
        <w:rPr>
          <w:rFonts w:ascii="Arial" w:hAnsi="Arial"/>
          <w:b/>
          <w:color w:val="0F172A"/>
          <w:sz w:val="24"/>
        </w:rPr>
        <w:t>Scenario: Multi-System Risk (Interaction + Allergy + Severe Renal Impairment)</w:t>
      </w:r>
    </w:p>
    <w:p>
      <w:pPr>
        <w:spacing w:after="40"/>
        <w:ind w:left="288"/>
      </w:pPr>
      <w:r>
        <w:rPr>
          <w:b/>
          <w:sz w:val="21"/>
        </w:rPr>
        <w:t xml:space="preserve">Prescribed Medications: </w:t>
      </w:r>
      <w:r>
        <w:rPr>
          <w:sz w:val="21"/>
        </w:rPr>
        <w:t>Warfarin 5mg daily, Ibuprofen 400mg TID, Metformin 1000mg BID, Amoxicillin 500mg TID</w:t>
      </w:r>
    </w:p>
    <w:p>
      <w:pPr>
        <w:spacing w:after="40"/>
        <w:ind w:left="288"/>
      </w:pPr>
      <w:r>
        <w:rPr>
          <w:b/>
          <w:sz w:val="21"/>
        </w:rPr>
        <w:t xml:space="preserve">Documented Allergies: </w:t>
      </w:r>
      <w:r>
        <w:rPr>
          <w:sz w:val="21"/>
        </w:rPr>
        <w:t>Penicillin</w:t>
      </w:r>
    </w:p>
    <w:p>
      <w:pPr>
        <w:spacing w:after="40"/>
        <w:ind w:left="288"/>
      </w:pPr>
      <w:r>
        <w:rPr>
          <w:b/>
          <w:sz w:val="21"/>
        </w:rPr>
        <w:t xml:space="preserve">Renal Function (eGFR): </w:t>
      </w:r>
      <w:r>
        <w:rPr>
          <w:sz w:val="21"/>
        </w:rPr>
        <w:t>28 mL/min/1.73m²</w:t>
      </w:r>
    </w:p>
    <w:p>
      <w:pPr>
        <w:spacing w:before="80" w:after="40"/>
        <w:ind w:left="288"/>
      </w:pPr>
      <w:r>
        <w:rPr>
          <w:b/>
          <w:color w:val="B91C1C"/>
          <w:sz w:val="21"/>
        </w:rPr>
        <w:t>Expected Agent Output:</w:t>
      </w:r>
    </w:p>
    <w:p>
      <w:pPr>
        <w:spacing w:after="40"/>
        <w:ind w:left="576"/>
      </w:pPr>
      <w:r>
        <w:rPr>
          <w:b/>
          <w:sz w:val="20"/>
        </w:rPr>
        <w:t>Banner: HIGH-RISK CONTRAINDICATION DETECTED</w:t>
      </w:r>
    </w:p>
    <w:p>
      <w:pPr>
        <w:spacing w:after="40"/>
        <w:ind w:left="576"/>
      </w:pPr>
      <w:r>
        <w:rPr>
          <w:sz w:val="20"/>
        </w:rPr>
        <w:t>• Triggers 3 distinct deterministic safety override alerts simultaneously.</w:t>
      </w:r>
    </w:p>
    <w:p>
      <w:pPr>
        <w:spacing w:after="120"/>
      </w:pPr>
    </w:p>
    <w:p>
      <w:r>
        <w:rPr>
          <w:rFonts w:ascii="Arial" w:hAnsi="Arial"/>
          <w:b/>
          <w:color w:val="0F172A"/>
          <w:sz w:val="32"/>
        </w:rPr>
        <w:t>2. LabAlert — Clinical Lab Interpreter &amp; Panic Value Escalator</w:t>
      </w:r>
    </w:p>
    <w:p>
      <w:pPr>
        <w:spacing w:after="160"/>
      </w:pPr>
      <w:r>
        <w:rPr>
          <w:rFonts w:ascii="Arial" w:hAnsi="Arial"/>
          <w:i/>
          <w:color w:val="0E8F84"/>
          <w:sz w:val="22"/>
        </w:rPr>
        <w:t>Capability: Numerical Range Boundary Check &amp; Critical Value Escalation</w:t>
      </w:r>
    </w:p>
    <w:p>
      <w:pPr>
        <w:spacing w:before="160" w:after="80"/>
      </w:pPr>
      <w:r>
        <w:rPr>
          <w:rFonts w:ascii="Arial" w:hAnsi="Arial"/>
          <w:b/>
          <w:color w:val="0F172A"/>
          <w:sz w:val="24"/>
        </w:rPr>
        <w:t>Scenario: Severe Hyperkalemia &amp; Myocardial Injury (Panic High)</w:t>
      </w:r>
    </w:p>
    <w:p>
      <w:pPr>
        <w:spacing w:after="40"/>
        <w:ind w:left="288"/>
      </w:pPr>
      <w:r>
        <w:rPr>
          <w:b/>
          <w:sz w:val="21"/>
        </w:rPr>
        <w:t xml:space="preserve">Laboratory Report Input: </w:t>
      </w:r>
      <w:r>
        <w:rPr>
          <w:sz w:val="21"/>
        </w:rPr>
        <w:t>Potassium: 6.4 mEq/L, Troponin I: 0.12 ng/mL, Sodium: 136 mEq/L, Serum Creatinine: 2.8 mg/dL, Hemoglobin: 11.2 g/dL</w:t>
      </w:r>
    </w:p>
    <w:p>
      <w:pPr>
        <w:spacing w:before="80" w:after="40"/>
        <w:ind w:left="288"/>
      </w:pPr>
      <w:r>
        <w:rPr>
          <w:b/>
          <w:color w:val="B91C1C"/>
          <w:sz w:val="21"/>
        </w:rPr>
        <w:t>Expected Agent Output:</w:t>
      </w:r>
    </w:p>
    <w:p>
      <w:pPr>
        <w:spacing w:after="40"/>
        <w:ind w:left="576"/>
      </w:pPr>
      <w:r>
        <w:rPr>
          <w:b/>
          <w:sz w:val="20"/>
        </w:rPr>
        <w:t>Banner: CRITICAL LAB PANIC VALUES IDENTIFIED — IMMEDIATE ACTION REQUIRED</w:t>
      </w:r>
    </w:p>
    <w:p>
      <w:pPr>
        <w:spacing w:after="40"/>
        <w:ind w:left="576"/>
      </w:pPr>
      <w:r>
        <w:rPr>
          <w:sz w:val="20"/>
        </w:rPr>
        <w:t>• Panic Flag: Potassium level 6.4 mEq/L is dangerously elevated (&gt;= 6.0 mEq/L).</w:t>
      </w:r>
    </w:p>
    <w:p>
      <w:pPr>
        <w:spacing w:after="40"/>
        <w:ind w:left="576"/>
      </w:pPr>
      <w:r>
        <w:rPr>
          <w:sz w:val="20"/>
        </w:rPr>
        <w:t>• Panic Flag: Troponin I level 0.12 ng/mL is dangerously elevated (&gt;= 0.04 ng/mL).</w:t>
      </w:r>
    </w:p>
    <w:p>
      <w:pPr>
        <w:spacing w:after="40"/>
        <w:ind w:left="576"/>
      </w:pPr>
      <w:r>
        <w:rPr>
          <w:sz w:val="20"/>
        </w:rPr>
        <w:t>• Action Plan: Stat 12-lead ECG, IV Calcium Gluconate, Insulin-Glucose shift therapy, ICU consult.</w:t>
      </w:r>
    </w:p>
    <w:p>
      <w:pPr>
        <w:spacing w:after="120"/>
      </w:pPr>
    </w:p>
    <w:p>
      <w:pPr>
        <w:spacing w:before="160" w:after="80"/>
      </w:pPr>
      <w:r>
        <w:rPr>
          <w:rFonts w:ascii="Arial" w:hAnsi="Arial"/>
          <w:b/>
          <w:color w:val="0F172A"/>
          <w:sz w:val="24"/>
        </w:rPr>
        <w:t>Scenario: Severe Anemia &amp; Thrombocytopenia (Panic Low Bleeding Risk)</w:t>
      </w:r>
    </w:p>
    <w:p>
      <w:pPr>
        <w:spacing w:after="40"/>
        <w:ind w:left="288"/>
      </w:pPr>
      <w:r>
        <w:rPr>
          <w:b/>
          <w:sz w:val="21"/>
        </w:rPr>
        <w:t xml:space="preserve">Laboratory Report Input: </w:t>
      </w:r>
      <w:r>
        <w:rPr>
          <w:sz w:val="21"/>
        </w:rPr>
        <w:t>Hemoglobin: 5.8 g/dL, Platelets: 14,000 /µL, WBC: 3,200 /µL, Potassium: 4.1 mEq/L</w:t>
      </w:r>
    </w:p>
    <w:p>
      <w:pPr>
        <w:spacing w:before="80" w:after="40"/>
        <w:ind w:left="288"/>
      </w:pPr>
      <w:r>
        <w:rPr>
          <w:b/>
          <w:color w:val="B91C1C"/>
          <w:sz w:val="21"/>
        </w:rPr>
        <w:t>Expected Agent Output:</w:t>
      </w:r>
    </w:p>
    <w:p>
      <w:pPr>
        <w:spacing w:after="40"/>
        <w:ind w:left="576"/>
      </w:pPr>
      <w:r>
        <w:rPr>
          <w:b/>
          <w:sz w:val="20"/>
        </w:rPr>
        <w:t>Banner: CRITICAL LAB PANIC VALUES IDENTIFIED</w:t>
      </w:r>
    </w:p>
    <w:p>
      <w:pPr>
        <w:spacing w:after="40"/>
        <w:ind w:left="576"/>
      </w:pPr>
      <w:r>
        <w:rPr>
          <w:sz w:val="20"/>
        </w:rPr>
        <w:t>• Panic Flag: Hemoglobin 5.8 g/dL is dangerously low (&lt;= 6.5 g/dL).</w:t>
      </w:r>
    </w:p>
    <w:p>
      <w:pPr>
        <w:spacing w:after="40"/>
        <w:ind w:left="576"/>
      </w:pPr>
      <w:r>
        <w:rPr>
          <w:sz w:val="20"/>
        </w:rPr>
        <w:t>• Panic Flag: Platelet count 14,000 /µL is dangerously low (&lt;= 20,000 /µL).</w:t>
      </w:r>
    </w:p>
    <w:p>
      <w:pPr>
        <w:spacing w:after="40"/>
        <w:ind w:left="576"/>
      </w:pPr>
      <w:r>
        <w:rPr>
          <w:sz w:val="20"/>
        </w:rPr>
        <w:t>• Action Plan: Urgent crossmatch &amp; PRBC transfusion, platelet transfusion.</w:t>
      </w:r>
    </w:p>
    <w:p>
      <w:pPr>
        <w:spacing w:after="120"/>
      </w:pPr>
    </w:p>
    <w:p>
      <w:pPr>
        <w:spacing w:before="160" w:after="80"/>
      </w:pPr>
      <w:r>
        <w:rPr>
          <w:rFonts w:ascii="Arial" w:hAnsi="Arial"/>
          <w:b/>
          <w:color w:val="0F172A"/>
          <w:sz w:val="24"/>
        </w:rPr>
        <w:t>Scenario: Diabetic Ketoacidosis (DKA) / Severe Acidemia</w:t>
      </w:r>
    </w:p>
    <w:p>
      <w:pPr>
        <w:spacing w:after="40"/>
        <w:ind w:left="288"/>
      </w:pPr>
      <w:r>
        <w:rPr>
          <w:b/>
          <w:sz w:val="21"/>
        </w:rPr>
        <w:t xml:space="preserve">Laboratory Report Input: </w:t>
      </w:r>
      <w:r>
        <w:rPr>
          <w:sz w:val="21"/>
        </w:rPr>
        <w:t>Blood Glucose: 440 mg/dL, pH: 7.15, Bicarbonate: 10 mEq/L, Potassium: 5.8 mEq/L</w:t>
      </w:r>
    </w:p>
    <w:p>
      <w:pPr>
        <w:spacing w:before="80" w:after="40"/>
        <w:ind w:left="288"/>
      </w:pPr>
      <w:r>
        <w:rPr>
          <w:b/>
          <w:color w:val="B91C1C"/>
          <w:sz w:val="21"/>
        </w:rPr>
        <w:t>Expected Agent Output:</w:t>
      </w:r>
    </w:p>
    <w:p>
      <w:pPr>
        <w:spacing w:after="40"/>
        <w:ind w:left="576"/>
      </w:pPr>
      <w:r>
        <w:rPr>
          <w:b/>
          <w:sz w:val="20"/>
        </w:rPr>
        <w:t>Banner: CRITICAL LAB PANIC VALUES IDENTIFIED</w:t>
      </w:r>
    </w:p>
    <w:p>
      <w:pPr>
        <w:spacing w:after="40"/>
        <w:ind w:left="576"/>
      </w:pPr>
      <w:r>
        <w:rPr>
          <w:sz w:val="20"/>
        </w:rPr>
        <w:t>• Panic Flag: Glucose 440 mg/dL (PANIC HIGH), pH 7.15 (PANIC LOW).</w:t>
      </w:r>
    </w:p>
    <w:p>
      <w:pPr>
        <w:spacing w:after="40"/>
        <w:ind w:left="576"/>
      </w:pPr>
      <w:r>
        <w:rPr>
          <w:sz w:val="20"/>
        </w:rPr>
        <w:t>• Action Plan: ICU admission, regular insulin infusion protocol.</w:t>
      </w:r>
    </w:p>
    <w:p>
      <w:pPr>
        <w:spacing w:after="120"/>
      </w:pPr>
    </w:p>
    <w:p>
      <w:r>
        <w:rPr>
          <w:rFonts w:ascii="Arial" w:hAnsi="Arial"/>
          <w:b/>
          <w:color w:val="0F172A"/>
          <w:sz w:val="32"/>
        </w:rPr>
        <w:t>3. TrialMatch — Clinical Trial Eligibility Screening Agent</w:t>
      </w:r>
    </w:p>
    <w:p>
      <w:pPr>
        <w:spacing w:after="160"/>
      </w:pPr>
      <w:r>
        <w:rPr>
          <w:rFonts w:ascii="Arial" w:hAnsi="Arial"/>
          <w:i/>
          <w:color w:val="0E8F84"/>
          <w:sz w:val="22"/>
        </w:rPr>
        <w:t>Capability: Multi-Criteria Protocol Matching &amp; Reasoning Matrix</w:t>
      </w:r>
    </w:p>
    <w:p>
      <w:pPr>
        <w:spacing w:before="160" w:after="80"/>
      </w:pPr>
      <w:r>
        <w:rPr>
          <w:rFonts w:ascii="Arial" w:hAnsi="Arial"/>
          <w:b/>
          <w:color w:val="0F172A"/>
          <w:sz w:val="24"/>
        </w:rPr>
        <w:t>Scenario: Ineligible Patient (Renal Exclusion Violation)</w:t>
      </w:r>
    </w:p>
    <w:p>
      <w:pPr>
        <w:spacing w:after="40"/>
        <w:ind w:left="288"/>
      </w:pPr>
      <w:r>
        <w:rPr>
          <w:b/>
          <w:sz w:val="21"/>
        </w:rPr>
        <w:t xml:space="preserve">Patient Profile: </w:t>
      </w:r>
      <w:r>
        <w:rPr>
          <w:sz w:val="21"/>
        </w:rPr>
        <w:t>58-year-old male, Type 2 Diabetes Mellitus (12 yrs), HbA1c 8.6%, eGFR 24 mL/min/1.73m²</w:t>
      </w:r>
    </w:p>
    <w:p>
      <w:pPr>
        <w:spacing w:after="40"/>
        <w:ind w:left="288"/>
      </w:pPr>
      <w:r>
        <w:rPr>
          <w:b/>
          <w:sz w:val="21"/>
        </w:rPr>
        <w:t xml:space="preserve">Protocol Criteria: </w:t>
      </w:r>
      <w:r>
        <w:rPr>
          <w:sz w:val="21"/>
        </w:rPr>
        <w:t>Inclusion: Age 18-75, HbA1c 7.5%-10.5%. Exclusion: eGFR &lt; 30 mL/min/1.73m²</w:t>
      </w:r>
    </w:p>
    <w:p>
      <w:pPr>
        <w:spacing w:before="80" w:after="40"/>
        <w:ind w:left="288"/>
      </w:pPr>
      <w:r>
        <w:rPr>
          <w:b/>
          <w:color w:val="B91C1C"/>
          <w:sz w:val="21"/>
        </w:rPr>
        <w:t>Expected Agent Output:</w:t>
      </w:r>
    </w:p>
    <w:p>
      <w:pPr>
        <w:spacing w:after="40"/>
        <w:ind w:left="576"/>
      </w:pPr>
      <w:r>
        <w:rPr>
          <w:b/>
          <w:sz w:val="20"/>
        </w:rPr>
        <w:t>Banner: PATIENT IS INELIGIBLE — CRITERIA UNMET OR EXCLUSION MET</w:t>
      </w:r>
    </w:p>
    <w:p>
      <w:pPr>
        <w:spacing w:after="40"/>
        <w:ind w:left="576"/>
      </w:pPr>
      <w:r>
        <w:rPr>
          <w:sz w:val="20"/>
        </w:rPr>
        <w:t>• Verdict: INELIGIBLE</w:t>
      </w:r>
    </w:p>
    <w:p>
      <w:pPr>
        <w:spacing w:after="40"/>
        <w:ind w:left="576"/>
      </w:pPr>
      <w:r>
        <w:rPr>
          <w:sz w:val="20"/>
        </w:rPr>
        <w:t>• Criteria Matrix: Age -&gt; MET, HbA1c -&gt; MET, Exclusion eGFR -&gt; UNMET (Violates exclusion clause).</w:t>
      </w:r>
    </w:p>
    <w:p>
      <w:pPr>
        <w:spacing w:after="120"/>
      </w:pPr>
    </w:p>
    <w:p>
      <w:pPr>
        <w:spacing w:before="160" w:after="80"/>
      </w:pPr>
      <w:r>
        <w:rPr>
          <w:rFonts w:ascii="Arial" w:hAnsi="Arial"/>
          <w:b/>
          <w:color w:val="0F172A"/>
          <w:sz w:val="24"/>
        </w:rPr>
        <w:t>Scenario: Eligible Patient (100% Protocol Match)</w:t>
      </w:r>
    </w:p>
    <w:p>
      <w:pPr>
        <w:spacing w:after="40"/>
        <w:ind w:left="288"/>
      </w:pPr>
      <w:r>
        <w:rPr>
          <w:b/>
          <w:sz w:val="21"/>
        </w:rPr>
        <w:t xml:space="preserve">Patient Profile: </w:t>
      </w:r>
      <w:r>
        <w:rPr>
          <w:sz w:val="21"/>
        </w:rPr>
        <w:t>62-year-old female, Type 2 Diabetes Mellitus, HbA1c 8.2%, eGFR 68 mL/min/1.73m²</w:t>
      </w:r>
    </w:p>
    <w:p>
      <w:pPr>
        <w:spacing w:after="40"/>
        <w:ind w:left="288"/>
      </w:pPr>
      <w:r>
        <w:rPr>
          <w:b/>
          <w:sz w:val="21"/>
        </w:rPr>
        <w:t xml:space="preserve">Protocol Criteria: </w:t>
      </w:r>
      <w:r>
        <w:rPr>
          <w:sz w:val="21"/>
        </w:rPr>
        <w:t>Inclusion: Age 18-75, HbA1c 7.5%-10.5%. Exclusion: eGFR &lt; 30 mL/min/1.73m²</w:t>
      </w:r>
    </w:p>
    <w:p>
      <w:pPr>
        <w:spacing w:before="80" w:after="40"/>
        <w:ind w:left="288"/>
      </w:pPr>
      <w:r>
        <w:rPr>
          <w:b/>
          <w:color w:val="B91C1C"/>
          <w:sz w:val="21"/>
        </w:rPr>
        <w:t>Expected Agent Output:</w:t>
      </w:r>
    </w:p>
    <w:p>
      <w:pPr>
        <w:spacing w:after="40"/>
        <w:ind w:left="576"/>
      </w:pPr>
      <w:r>
        <w:rPr>
          <w:b/>
          <w:sz w:val="20"/>
        </w:rPr>
        <w:t>Banner: PATIENT IS ELIGIBLE FOR CLINICAL TRIAL RECRUITMENT</w:t>
      </w:r>
    </w:p>
    <w:p>
      <w:pPr>
        <w:spacing w:after="40"/>
        <w:ind w:left="576"/>
      </w:pPr>
      <w:r>
        <w:rPr>
          <w:sz w:val="20"/>
        </w:rPr>
        <w:t>• Verdict: ELIGIBLE</w:t>
      </w:r>
    </w:p>
    <w:p>
      <w:pPr>
        <w:spacing w:after="40"/>
        <w:ind w:left="576"/>
      </w:pPr>
      <w:r>
        <w:rPr>
          <w:sz w:val="20"/>
        </w:rPr>
        <w:t>• Criteria Matrix: 100% Satisfied.</w:t>
      </w:r>
    </w:p>
    <w:p>
      <w:pPr>
        <w:spacing w:after="120"/>
      </w:pPr>
    </w:p>
    <w:p>
      <w:r>
        <w:rPr>
          <w:rFonts w:ascii="Arial" w:hAnsi="Arial"/>
          <w:b/>
          <w:color w:val="0F172A"/>
          <w:sz w:val="32"/>
        </w:rPr>
        <w:t>4. DiffCheck — Differential Diagnosis &amp; Diagnostic Bias Safeguard Agent</w:t>
      </w:r>
    </w:p>
    <w:p>
      <w:pPr>
        <w:spacing w:after="160"/>
      </w:pPr>
      <w:r>
        <w:rPr>
          <w:rFonts w:ascii="Arial" w:hAnsi="Arial"/>
          <w:i/>
          <w:color w:val="0E8F84"/>
          <w:sz w:val="22"/>
        </w:rPr>
        <w:t>Capability: Red-Teaming &amp; Cognitive Debiasing (Anchoring Mitigation)</w:t>
      </w:r>
    </w:p>
    <w:p>
      <w:pPr>
        <w:spacing w:before="160" w:after="80"/>
      </w:pPr>
      <w:r>
        <w:rPr>
          <w:rFonts w:ascii="Arial" w:hAnsi="Arial"/>
          <w:b/>
          <w:color w:val="0F172A"/>
          <w:sz w:val="24"/>
        </w:rPr>
        <w:t>Scenario: Pleuritic Chest Pain in Young Female on OCP (Anchoring Risk)</w:t>
      </w:r>
    </w:p>
    <w:p>
      <w:pPr>
        <w:spacing w:after="40"/>
        <w:ind w:left="288"/>
      </w:pPr>
      <w:r>
        <w:rPr>
          <w:b/>
          <w:sz w:val="21"/>
        </w:rPr>
        <w:t xml:space="preserve">Presenting Symptoms &amp; History: </w:t>
      </w:r>
      <w:r>
        <w:rPr>
          <w:sz w:val="21"/>
        </w:rPr>
        <w:t>42-year-old female presents with sudden onset sharp right-sided chest pain worsening on deep inspiration (pleuritic). HR 104 bpm, BP 122/78 mmHg, SpO2 97% on room air. Taking oral contraceptive pills.</w:t>
      </w:r>
    </w:p>
    <w:p>
      <w:pPr>
        <w:spacing w:after="40"/>
        <w:ind w:left="288"/>
      </w:pPr>
      <w:r>
        <w:rPr>
          <w:b/>
          <w:sz w:val="21"/>
        </w:rPr>
        <w:t xml:space="preserve">Initial Working Diagnosis: </w:t>
      </w:r>
      <w:r>
        <w:rPr>
          <w:sz w:val="21"/>
        </w:rPr>
        <w:t>Musculoskeletal chest wall pain / muscle strain</w:t>
      </w:r>
    </w:p>
    <w:p>
      <w:pPr>
        <w:spacing w:before="80" w:after="40"/>
        <w:ind w:left="288"/>
      </w:pPr>
      <w:r>
        <w:rPr>
          <w:b/>
          <w:color w:val="B91C1C"/>
          <w:sz w:val="21"/>
        </w:rPr>
        <w:t>Expected Agent Output:</w:t>
      </w:r>
    </w:p>
    <w:p>
      <w:pPr>
        <w:spacing w:after="40"/>
        <w:ind w:left="576"/>
      </w:pPr>
      <w:r>
        <w:rPr>
          <w:b/>
          <w:sz w:val="20"/>
        </w:rPr>
        <w:t>Banner: MANDATORY SAFETY CHECKLIST: HIGH-RISK EMERGENCIES TO RULE OUT</w:t>
      </w:r>
    </w:p>
    <w:p>
      <w:pPr>
        <w:spacing w:after="40"/>
        <w:ind w:left="576"/>
      </w:pPr>
      <w:r>
        <w:rPr>
          <w:sz w:val="20"/>
        </w:rPr>
        <w:t>• Red-Flag Emergencies: Pulmonary Embolism (MUST-NOT-MISS), Acute Coronary Syndrome, Aortic Dissection.</w:t>
      </w:r>
    </w:p>
    <w:p>
      <w:pPr>
        <w:spacing w:after="40"/>
        <w:ind w:left="576"/>
      </w:pPr>
      <w:r>
        <w:rPr>
          <w:sz w:val="20"/>
        </w:rPr>
        <w:t>• Debiasing Critique: Directly challenges premature closure of attributing pleuritic pain in an OCP user to muscle strain. Mandates D-Dimer / CTPA &amp; ECG + Troponin.</w:t>
      </w:r>
    </w:p>
    <w:p>
      <w:pPr>
        <w:spacing w:after="120"/>
      </w:pPr>
    </w:p>
    <w:p>
      <w:pPr>
        <w:spacing w:before="160" w:after="80"/>
      </w:pPr>
      <w:r>
        <w:rPr>
          <w:rFonts w:ascii="Arial" w:hAnsi="Arial"/>
          <w:b/>
          <w:color w:val="0F172A"/>
          <w:sz w:val="24"/>
        </w:rPr>
        <w:t>Scenario: Thunderclap Headache (Premature Closure Safeguard)</w:t>
      </w:r>
    </w:p>
    <w:p>
      <w:pPr>
        <w:spacing w:after="40"/>
        <w:ind w:left="288"/>
      </w:pPr>
      <w:r>
        <w:rPr>
          <w:b/>
          <w:sz w:val="21"/>
        </w:rPr>
        <w:t xml:space="preserve">Presenting Symptoms &amp; History: </w:t>
      </w:r>
      <w:r>
        <w:rPr>
          <w:sz w:val="21"/>
        </w:rPr>
        <w:t>35-year-old male presents with sudden onset excruciating headache reaching peak intensity within 60 seconds ('worst headache of life') during exercise. Mild nuchal rigidity on exam.</w:t>
      </w:r>
    </w:p>
    <w:p>
      <w:pPr>
        <w:spacing w:after="40"/>
        <w:ind w:left="288"/>
      </w:pPr>
      <w:r>
        <w:rPr>
          <w:b/>
          <w:sz w:val="21"/>
        </w:rPr>
        <w:t xml:space="preserve">Initial Working Diagnosis: </w:t>
      </w:r>
      <w:r>
        <w:rPr>
          <w:sz w:val="21"/>
        </w:rPr>
        <w:t>Tension headache / cervical muscle spasm</w:t>
      </w:r>
    </w:p>
    <w:p>
      <w:pPr>
        <w:spacing w:before="80" w:after="40"/>
        <w:ind w:left="288"/>
      </w:pPr>
      <w:r>
        <w:rPr>
          <w:b/>
          <w:color w:val="B91C1C"/>
          <w:sz w:val="21"/>
        </w:rPr>
        <w:t>Expected Agent Output:</w:t>
      </w:r>
    </w:p>
    <w:p>
      <w:pPr>
        <w:spacing w:after="40"/>
        <w:ind w:left="576"/>
      </w:pPr>
      <w:r>
        <w:rPr>
          <w:b/>
          <w:sz w:val="20"/>
        </w:rPr>
        <w:t>Banner: MANDATORY SAFETY CHECKLIST</w:t>
      </w:r>
    </w:p>
    <w:p>
      <w:pPr>
        <w:spacing w:after="40"/>
        <w:ind w:left="576"/>
      </w:pPr>
      <w:r>
        <w:rPr>
          <w:sz w:val="20"/>
        </w:rPr>
        <w:t>• Red-Flag Emergencies: Subarachnoid Hemorrhage (SAH), Acute Bacterial Meningitis, Cerebral Venous Sinus Thrombosis.</w:t>
      </w:r>
    </w:p>
    <w:p>
      <w:pPr>
        <w:spacing w:after="40"/>
        <w:ind w:left="576"/>
      </w:pPr>
      <w:r>
        <w:rPr>
          <w:sz w:val="20"/>
        </w:rPr>
        <w:t>• Debiasing Critique: Mandates Non-contrast Head CT and Lumbar Puncture if CT is negative.</w:t>
      </w:r>
    </w:p>
    <w:p>
      <w:pPr>
        <w:spacing w:after="12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