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glossary-key-references-further-learning"/>
    <w:p>
      <w:pPr>
        <w:pStyle w:val="Heading1"/>
      </w:pPr>
      <w:r>
        <w:t xml:space="preserve">Glossary, Key References &amp; Further Learning</w:t>
      </w:r>
    </w:p>
    <w:bookmarkStart w:id="9" w:name="X1182cfb203e3bbae565db35c95bb460a49471d7"/>
    <w:p>
      <w:pPr>
        <w:pStyle w:val="Heading2"/>
      </w:pPr>
      <w:r>
        <w:t xml:space="preserve">Computational Metagenomics Workshop — IIT Madras, April 2026</w:t>
      </w:r>
    </w:p>
    <w:p>
      <w:r>
        <w:pict>
          <v:rect style="width:0;height:1.5pt" o:hralign="center" o:hrstd="t" o:hr="t"/>
        </w:pict>
      </w:r>
    </w:p>
    <w:bookmarkEnd w:id="9"/>
    <w:bookmarkStart w:id="31" w:name="a-z-glossary-of-key-terms"/>
    <w:p>
      <w:pPr>
        <w:pStyle w:val="Heading2"/>
      </w:pPr>
      <w:r>
        <w:t xml:space="preserve">A-Z Glossary of Key Terms</w:t>
      </w:r>
    </w:p>
    <w:bookmarkStart w:id="10" w:name="a"/>
    <w:p>
      <w:pPr>
        <w:pStyle w:val="Heading3"/>
      </w:pPr>
      <w:r>
        <w:t xml:space="preserve">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Adapter:</w:t>
      </w:r>
      <w:r>
        <w:t xml:space="preserve"> </w:t>
      </w:r>
      <w:r>
        <w:t xml:space="preserve">Short synthetic DNA sequences ligated to fragments during library prep; must be removed before analysis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Alpha diversity:</w:t>
      </w:r>
      <w:r>
        <w:t xml:space="preserve"> </w:t>
      </w:r>
      <w:r>
        <w:t xml:space="preserve">Diversity within a single sample (richness, evenness, phylogenetic diversity)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Amplicon:</w:t>
      </w:r>
      <w:r>
        <w:t xml:space="preserve"> </w:t>
      </w:r>
      <w:r>
        <w:t xml:space="preserve">A targeted PCR-amplified DNA fragment (e.g., 16S rRNA V3-V4 region)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ANCOM/ANCOM-BC:</w:t>
      </w:r>
      <w:r>
        <w:t xml:space="preserve"> </w:t>
      </w:r>
      <w:r>
        <w:t xml:space="preserve">Analysis of Composition of Microbiomes — compositional-aware differential abundance method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ASV (Amplicon Sequence Variant):</w:t>
      </w:r>
      <w:r>
        <w:t xml:space="preserve"> </w:t>
      </w:r>
      <w:r>
        <w:t xml:space="preserve">Exact biological sequence resolved by denoising; replaces OTU as the standard unit</w:t>
      </w:r>
    </w:p>
    <w:bookmarkEnd w:id="10"/>
    <w:bookmarkStart w:id="11" w:name="b"/>
    <w:p>
      <w:pPr>
        <w:pStyle w:val="Heading3"/>
      </w:pPr>
      <w:r>
        <w:t xml:space="preserve">B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BAM:</w:t>
      </w:r>
      <w:r>
        <w:t xml:space="preserve"> </w:t>
      </w:r>
      <w:r>
        <w:t xml:space="preserve">Binary Alignment Map — compressed binary version of SAM format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Barcode (Index):</w:t>
      </w:r>
      <w:r>
        <w:t xml:space="preserve"> </w:t>
      </w:r>
      <w:r>
        <w:t xml:space="preserve">Short unique DNA sequence added to each sample for multiplexing; allows pooled sequencing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Beta diversity:</w:t>
      </w:r>
      <w:r>
        <w:t xml:space="preserve"> </w:t>
      </w:r>
      <w:r>
        <w:t xml:space="preserve">Diversity between samples; quantified as a distance/dissimilarity matrix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Binning:</w:t>
      </w:r>
      <w:r>
        <w:t xml:space="preserve"> </w:t>
      </w:r>
      <w:r>
        <w:t xml:space="preserve">Grouping contigs into genome bins based on composition and coverage patterns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BIOM:</w:t>
      </w:r>
      <w:r>
        <w:t xml:space="preserve"> </w:t>
      </w:r>
      <w:r>
        <w:t xml:space="preserve">Biological Observation Matrix — standard format for OTU/ASV abundance tables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Bracken:</w:t>
      </w:r>
      <w:r>
        <w:t xml:space="preserve"> </w:t>
      </w:r>
      <w:r>
        <w:t xml:space="preserve">Bayesian Reestimation of Abundance with KrakEN — refines Kraken2 species-level estimates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Bray-Curtis dissimilarity:</w:t>
      </w:r>
      <w:r>
        <w:t xml:space="preserve"> </w:t>
      </w:r>
      <w:r>
        <w:t xml:space="preserve">Abundance-weighted beta diversity metric (0 = identical, 1 = completely different)</w:t>
      </w:r>
    </w:p>
    <w:bookmarkEnd w:id="11"/>
    <w:bookmarkStart w:id="12" w:name="c"/>
    <w:p>
      <w:pPr>
        <w:pStyle w:val="Heading3"/>
      </w:pPr>
      <w:r>
        <w:t xml:space="preserve">C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CheckM/CheckM2:</w:t>
      </w:r>
      <w:r>
        <w:t xml:space="preserve"> </w:t>
      </w:r>
      <w:r>
        <w:t xml:space="preserve">Tool assessing MAG completeness and contamination using single-copy marker genes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Chimera:</w:t>
      </w:r>
      <w:r>
        <w:t xml:space="preserve"> </w:t>
      </w:r>
      <w:r>
        <w:t xml:space="preserve">Artificial sequence formed during PCR when an incomplete extension serves as primer for a different template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CLR (Centered Log-Ratio):</w:t>
      </w:r>
      <w:r>
        <w:t xml:space="preserve"> </w:t>
      </w:r>
      <w:r>
        <w:t xml:space="preserve">Transformation for compositional data: log(value/geometric mean)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COGs (Clusters of Orthologous Groups):</w:t>
      </w:r>
      <w:r>
        <w:t xml:space="preserve"> </w:t>
      </w:r>
      <w:r>
        <w:t xml:space="preserve">Functional classification system for proteins based on evolutionary relationships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Compositional data:</w:t>
      </w:r>
      <w:r>
        <w:t xml:space="preserve"> </w:t>
      </w:r>
      <w:r>
        <w:t xml:space="preserve">Data where values represent proportions summing to a constant (e.g., relative abundances sum to 1)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Contig:</w:t>
      </w:r>
      <w:r>
        <w:t xml:space="preserve"> </w:t>
      </w:r>
      <w:r>
        <w:t xml:space="preserve">Contiguous sequence assembled from overlapping reads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Coverage (Depth):</w:t>
      </w:r>
      <w:r>
        <w:t xml:space="preserve"> </w:t>
      </w:r>
      <w:r>
        <w:t xml:space="preserve">Average number of times each base position is sequenced (e.g., 30x coverage)</w:t>
      </w:r>
    </w:p>
    <w:bookmarkEnd w:id="12"/>
    <w:bookmarkStart w:id="13" w:name="d"/>
    <w:p>
      <w:pPr>
        <w:pStyle w:val="Heading3"/>
      </w:pPr>
      <w:r>
        <w:t xml:space="preserve">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DADA2:</w:t>
      </w:r>
      <w:r>
        <w:t xml:space="preserve"> </w:t>
      </w:r>
      <w:r>
        <w:t xml:space="preserve">Divisive Amplicon Denoising Algorithm — infers exact ASVs by modeling sequencing errors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DAS Tool:</w:t>
      </w:r>
      <w:r>
        <w:t xml:space="preserve"> </w:t>
      </w:r>
      <w:r>
        <w:t xml:space="preserve">Meta-binner that combines results from multiple binning algorithms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 Bruijn graph:</w:t>
      </w:r>
      <w:r>
        <w:t xml:space="preserve"> </w:t>
      </w:r>
      <w:r>
        <w:t xml:space="preserve">Graph-based data structure used by most assemblers; nodes are k-mers, edges are overlaps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Denoising:</w:t>
      </w:r>
      <w:r>
        <w:t xml:space="preserve"> </w:t>
      </w:r>
      <w:r>
        <w:t xml:space="preserve">Statistical process to distinguish true biological sequences from sequencing errors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DESeq2:</w:t>
      </w:r>
      <w:r>
        <w:t xml:space="preserve"> </w:t>
      </w:r>
      <w:r>
        <w:t xml:space="preserve">Differential expression/abundance tool using negative binomial GLM with shrinkage estimation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Dysbiosis:</w:t>
      </w:r>
      <w:r>
        <w:t xml:space="preserve"> </w:t>
      </w:r>
      <w:r>
        <w:t xml:space="preserve">Imbalance in microbial community composition, often associated with disease</w:t>
      </w:r>
    </w:p>
    <w:bookmarkEnd w:id="13"/>
    <w:bookmarkStart w:id="14" w:name="e"/>
    <w:p>
      <w:pPr>
        <w:pStyle w:val="Heading3"/>
      </w:pPr>
      <w:r>
        <w:t xml:space="preserve">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eggNOG-mapper:</w:t>
      </w:r>
      <w:r>
        <w:t xml:space="preserve"> </w:t>
      </w:r>
      <w:r>
        <w:t xml:space="preserve">Tool for functional annotation using orthologous groups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Enterotype:</w:t>
      </w:r>
      <w:r>
        <w:t xml:space="preserve"> </w:t>
      </w:r>
      <w:r>
        <w:t xml:space="preserve">Proposed classification of human gut microbiomes into discrete community types (Bacteroides, Prevotella, Ruminococcus-dominated)</w:t>
      </w:r>
    </w:p>
    <w:bookmarkEnd w:id="14"/>
    <w:bookmarkStart w:id="15" w:name="f"/>
    <w:p>
      <w:pPr>
        <w:pStyle w:val="Heading3"/>
      </w:pPr>
      <w:r>
        <w:t xml:space="preserve">F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Faith’s PD (Phylogenetic Diversity):</w:t>
      </w:r>
      <w:r>
        <w:t xml:space="preserve"> </w:t>
      </w:r>
      <w:r>
        <w:t xml:space="preserve">Alpha diversity metric = sum of branch lengths connecting observed taxa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FASTA:</w:t>
      </w:r>
      <w:r>
        <w:t xml:space="preserve"> </w:t>
      </w:r>
      <w:r>
        <w:t xml:space="preserve">File format for sequences (&gt;header followed by sequence)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FASTQ:</w:t>
      </w:r>
      <w:r>
        <w:t xml:space="preserve"> </w:t>
      </w:r>
      <w:r>
        <w:t xml:space="preserve">File format for sequences + quality scores (4 lines per read)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FastQC:</w:t>
      </w:r>
      <w:r>
        <w:t xml:space="preserve"> </w:t>
      </w:r>
      <w:r>
        <w:t xml:space="preserve">Quality control tool producing visual reports of sequencing data quality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FMT (Fecal Microbiota Transplant):</w:t>
      </w:r>
      <w:r>
        <w:t xml:space="preserve"> </w:t>
      </w:r>
      <w:r>
        <w:t xml:space="preserve">Transfer of stool from healthy donor to patient</w:t>
      </w:r>
    </w:p>
    <w:bookmarkEnd w:id="15"/>
    <w:bookmarkStart w:id="16" w:name="g"/>
    <w:p>
      <w:pPr>
        <w:pStyle w:val="Heading3"/>
      </w:pPr>
      <w:r>
        <w:t xml:space="preserve">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GFF (General Feature Format):</w:t>
      </w:r>
      <w:r>
        <w:t xml:space="preserve"> </w:t>
      </w:r>
      <w:r>
        <w:t xml:space="preserve">File format for genomic annotations (gene locations, types)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GTDB (Genome Taxonomy Database):</w:t>
      </w:r>
      <w:r>
        <w:t xml:space="preserve"> </w:t>
      </w:r>
      <w:r>
        <w:t xml:space="preserve">Standardized taxonomy based on genome phylogeny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GTDBTk:</w:t>
      </w:r>
      <w:r>
        <w:t xml:space="preserve"> </w:t>
      </w:r>
      <w:r>
        <w:t xml:space="preserve">GTDB Toolkit — classifies genomes using GTDB reference tree</w:t>
      </w:r>
    </w:p>
    <w:bookmarkEnd w:id="16"/>
    <w:bookmarkStart w:id="17" w:name="h"/>
    <w:p>
      <w:pPr>
        <w:pStyle w:val="Heading3"/>
      </w:pPr>
      <w:r>
        <w:t xml:space="preserve">H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HiFi reads:</w:t>
      </w:r>
      <w:r>
        <w:t xml:space="preserve"> </w:t>
      </w:r>
      <w:r>
        <w:t xml:space="preserve">PacBio high-fidelity reads (&gt;Q20 accuracy from circular consensus sequencing)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Holobiont:</w:t>
      </w:r>
      <w:r>
        <w:t xml:space="preserve"> </w:t>
      </w:r>
      <w:r>
        <w:t xml:space="preserve">Host organism + its entire microbiome considered as a single biological entity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Host depletion:</w:t>
      </w:r>
      <w:r>
        <w:t xml:space="preserve"> </w:t>
      </w:r>
      <w:r>
        <w:t xml:space="preserve">Removal of host DNA sequences from metagenomic data before analysis</w:t>
      </w:r>
    </w:p>
    <w:bookmarkEnd w:id="17"/>
    <w:bookmarkStart w:id="18" w:name="i"/>
    <w:p>
      <w:pPr>
        <w:pStyle w:val="Heading3"/>
      </w:pPr>
      <w:r>
        <w:t xml:space="preserve">I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ITS (Internal Transcribed Spacer):</w:t>
      </w:r>
      <w:r>
        <w:t xml:space="preserve"> </w:t>
      </w:r>
      <w:r>
        <w:t xml:space="preserve">Fungal barcode region between rRNA genes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Illumina:</w:t>
      </w:r>
      <w:r>
        <w:t xml:space="preserve"> </w:t>
      </w:r>
      <w:r>
        <w:t xml:space="preserve">Dominant short-read sequencing platform using sequencing-by-synthesis chemistry</w:t>
      </w:r>
    </w:p>
    <w:bookmarkEnd w:id="18"/>
    <w:bookmarkStart w:id="19" w:name="k"/>
    <w:p>
      <w:pPr>
        <w:pStyle w:val="Heading3"/>
      </w:pPr>
      <w:r>
        <w:t xml:space="preserve">K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KEGG (Kyoto Encyclopedia of Genes and Genomes):</w:t>
      </w:r>
      <w:r>
        <w:t xml:space="preserve"> </w:t>
      </w:r>
      <w:r>
        <w:t xml:space="preserve">Database of metabolic pathways and biological functions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k-mer:</w:t>
      </w:r>
      <w:r>
        <w:t xml:space="preserve"> </w:t>
      </w:r>
      <w:r>
        <w:t xml:space="preserve">Substring of length k from a DNA sequence (e.g., k=35 means all 35-bp substrings)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Kraken2:</w:t>
      </w:r>
      <w:r>
        <w:t xml:space="preserve"> </w:t>
      </w:r>
      <w:r>
        <w:t xml:space="preserve">Ultrafast taxonomic classifier using exact k-mer matching against reference database</w:t>
      </w:r>
    </w:p>
    <w:bookmarkEnd w:id="19"/>
    <w:bookmarkStart w:id="20" w:name="l"/>
    <w:p>
      <w:pPr>
        <w:pStyle w:val="Heading3"/>
      </w:pPr>
      <w:r>
        <w:t xml:space="preserve">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LCA (Lowest Common Ancestor):</w:t>
      </w:r>
      <w:r>
        <w:t xml:space="preserve"> </w:t>
      </w:r>
      <w:r>
        <w:t xml:space="preserve">Taxonomic classification strategy — when a k-mer matches multiple taxa, assign to their common ancestor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Library preparation:</w:t>
      </w:r>
      <w:r>
        <w:t xml:space="preserve"> </w:t>
      </w:r>
      <w:r>
        <w:t xml:space="preserve">Process of preparing DNA for sequencing (fragmentation, adapter ligation, amplification)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Long-read sequencing:</w:t>
      </w:r>
      <w:r>
        <w:t xml:space="preserve"> </w:t>
      </w:r>
      <w:r>
        <w:t xml:space="preserve">Platforms producing reads &gt;10 kb (Oxford Nanopore, PacBio)</w:t>
      </w:r>
    </w:p>
    <w:bookmarkEnd w:id="20"/>
    <w:bookmarkStart w:id="21" w:name="m"/>
    <w:p>
      <w:pPr>
        <w:pStyle w:val="Heading3"/>
      </w:pPr>
      <w:r>
        <w:t xml:space="preserve">M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MAG (Metagenome-Assembled Genome):</w:t>
      </w:r>
      <w:r>
        <w:t xml:space="preserve"> </w:t>
      </w:r>
      <w:r>
        <w:t xml:space="preserve">Near-complete genome reconstructed from metagenomic data through assembly + binning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Marker gene:</w:t>
      </w:r>
      <w:r>
        <w:t xml:space="preserve"> </w:t>
      </w:r>
      <w:r>
        <w:t xml:space="preserve">Conserved gene used for taxonomic identification (e.g., 16S rRNA, ITS)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Metadata:</w:t>
      </w:r>
      <w:r>
        <w:t xml:space="preserve"> </w:t>
      </w:r>
      <w:r>
        <w:t xml:space="preserve">Information about samples (patient age, collection site, pH, temperature, etc.)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MetaBAT2:</w:t>
      </w:r>
      <w:r>
        <w:t xml:space="preserve"> </w:t>
      </w:r>
      <w:r>
        <w:t xml:space="preserve">Metagenome Binning with Abundance and Tetra-nucleotide frequencies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MEGAHIT:</w:t>
      </w:r>
      <w:r>
        <w:t xml:space="preserve"> </w:t>
      </w:r>
      <w:r>
        <w:t xml:space="preserve">Memory-efficient metagenome assembler using succinct de Bruijn graphs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Metagenome:</w:t>
      </w:r>
      <w:r>
        <w:t xml:space="preserve"> </w:t>
      </w:r>
      <w:r>
        <w:t xml:space="preserve">The collective genomes of all microorganisms in an environmental sample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Microbiome:</w:t>
      </w:r>
      <w:r>
        <w:t xml:space="preserve"> </w:t>
      </w:r>
      <w:r>
        <w:t xml:space="preserve">The community of microorganisms (bacteria, archaea, fungi, viruses) in a given environment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MIMAG:</w:t>
      </w:r>
      <w:r>
        <w:t xml:space="preserve"> </w:t>
      </w:r>
      <w:r>
        <w:t xml:space="preserve">Minimum Information about a Metagenome-Assembled Genome (quality standards)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Mock community:</w:t>
      </w:r>
      <w:r>
        <w:t xml:space="preserve"> </w:t>
      </w:r>
      <w:r>
        <w:t xml:space="preserve">Known mixture of microorganisms used as a positive control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Multiplexing:</w:t>
      </w:r>
      <w:r>
        <w:t xml:space="preserve"> </w:t>
      </w:r>
      <w:r>
        <w:t xml:space="preserve">Pooling multiple barcoded samples in a single sequencing run</w:t>
      </w:r>
    </w:p>
    <w:bookmarkEnd w:id="21"/>
    <w:bookmarkStart w:id="22" w:name="n"/>
    <w:p>
      <w:pPr>
        <w:pStyle w:val="Heading3"/>
      </w:pPr>
      <w:r>
        <w:t xml:space="preserve">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N50:</w:t>
      </w:r>
      <w:r>
        <w:t xml:space="preserve"> </w:t>
      </w:r>
      <w:r>
        <w:t xml:space="preserve">Assembly quality metric — 50% of the total assembly length is contained in contigs of this size or larger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Nanopore sequencing:</w:t>
      </w:r>
      <w:r>
        <w:t xml:space="preserve"> </w:t>
      </w:r>
      <w:r>
        <w:t xml:space="preserve">Long-read technology measuring electrical current changes as DNA passes through a protein pore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Negative control:</w:t>
      </w:r>
      <w:r>
        <w:t xml:space="preserve"> </w:t>
      </w:r>
      <w:r>
        <w:t xml:space="preserve">Sample processed identically but without biological input (detects contamination)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NMDS (Non-metric Multidimensional Scaling):</w:t>
      </w:r>
      <w:r>
        <w:t xml:space="preserve"> </w:t>
      </w:r>
      <w:r>
        <w:t xml:space="preserve">Ordination method preserving rank-order distances</w:t>
      </w:r>
    </w:p>
    <w:bookmarkEnd w:id="22"/>
    <w:bookmarkStart w:id="23" w:name="o"/>
    <w:p>
      <w:pPr>
        <w:pStyle w:val="Heading3"/>
      </w:pPr>
      <w:r>
        <w:t xml:space="preserve">O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OTU (Operational Taxonomic Unit):</w:t>
      </w:r>
      <w:r>
        <w:t xml:space="preserve"> </w:t>
      </w:r>
      <w:r>
        <w:t xml:space="preserve">Cluster of sequences at 97% similarity threshold (legacy method, replaced by ASVs)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Ordination:</w:t>
      </w:r>
      <w:r>
        <w:t xml:space="preserve"> </w:t>
      </w:r>
      <w:r>
        <w:t xml:space="preserve">Dimensionality reduction technique for visualizing sample relationships (PCoA, NMDS, PCA)</w:t>
      </w:r>
    </w:p>
    <w:bookmarkEnd w:id="23"/>
    <w:bookmarkStart w:id="24" w:name="p"/>
    <w:p>
      <w:pPr>
        <w:pStyle w:val="Heading3"/>
      </w:pPr>
      <w:r>
        <w:t xml:space="preserve">P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Paired-end sequencing:</w:t>
      </w:r>
      <w:r>
        <w:t xml:space="preserve"> </w:t>
      </w:r>
      <w:r>
        <w:t xml:space="preserve">Sequencing both ends of a DNA fragment, producing R1 (forward) and R2 (reverse) reads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PCoA (Principal Coordinates Analysis):</w:t>
      </w:r>
      <w:r>
        <w:t xml:space="preserve"> </w:t>
      </w:r>
      <w:r>
        <w:t xml:space="preserve">Ordination method that preserves distance relationships between samples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PERMANOVA (adonis2):</w:t>
      </w:r>
      <w:r>
        <w:t xml:space="preserve"> </w:t>
      </w:r>
      <w:r>
        <w:t xml:space="preserve">Permutational ANOVA — tests whether groups differ in community composition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PERMDISP:</w:t>
      </w:r>
      <w:r>
        <w:t xml:space="preserve"> </w:t>
      </w:r>
      <w:r>
        <w:t xml:space="preserve">Tests homogeneity of group dispersions (companion to PERMANOVA)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Phred score (Q-score):</w:t>
      </w:r>
      <w:r>
        <w:t xml:space="preserve"> </w:t>
      </w:r>
      <w:r>
        <w:t xml:space="preserve">Quality score: Q = -10 × log₁₀(error probability); Q30 = 1 in 1000 error rate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Phyloseq:</w:t>
      </w:r>
      <w:r>
        <w:t xml:space="preserve"> </w:t>
      </w:r>
      <w:r>
        <w:t xml:space="preserve">R package for microbiome data analysis and visualization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Prokka:</w:t>
      </w:r>
      <w:r>
        <w:t xml:space="preserve"> </w:t>
      </w:r>
      <w:r>
        <w:t xml:space="preserve">Rapid prokaryotic genome annotation tool (identifies genes, rRNA, tRNA)</w:t>
      </w:r>
    </w:p>
    <w:bookmarkEnd w:id="24"/>
    <w:bookmarkStart w:id="25" w:name="q"/>
    <w:p>
      <w:pPr>
        <w:pStyle w:val="Heading3"/>
      </w:pPr>
      <w:r>
        <w:t xml:space="preserve">Q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QIIME2:</w:t>
      </w:r>
      <w:r>
        <w:t xml:space="preserve"> </w:t>
      </w:r>
      <w:r>
        <w:t xml:space="preserve">Quantitative Insights Into Microbial Ecology — comprehensive amplicon analysis platform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Quality trimming:</w:t>
      </w:r>
      <w:r>
        <w:t xml:space="preserve"> </w:t>
      </w:r>
      <w:r>
        <w:t xml:space="preserve">Removing low-quality bases from read ends to improve downstream analysis</w:t>
      </w:r>
    </w:p>
    <w:bookmarkEnd w:id="25"/>
    <w:bookmarkStart w:id="26" w:name="r"/>
    <w:p>
      <w:pPr>
        <w:pStyle w:val="Heading3"/>
      </w:pPr>
      <w:r>
        <w:t xml:space="preserve">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Rarefaction:</w:t>
      </w:r>
      <w:r>
        <w:t xml:space="preserve"> </w:t>
      </w:r>
      <w:r>
        <w:t xml:space="preserve">Random subsampling to equalize sequencing depth across samples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Read:</w:t>
      </w:r>
      <w:r>
        <w:t xml:space="preserve"> </w:t>
      </w:r>
      <w:r>
        <w:t xml:space="preserve">A single sequenced DNA fragment (typically 150-300 bp for Illumina)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Relative abundance:</w:t>
      </w:r>
      <w:r>
        <w:t xml:space="preserve"> </w:t>
      </w:r>
      <w:r>
        <w:t xml:space="preserve">Proportion of a taxon in a sample (sums to 1.0 across all taxa)</w:t>
      </w:r>
    </w:p>
    <w:bookmarkEnd w:id="26"/>
    <w:bookmarkStart w:id="27" w:name="s"/>
    <w:p>
      <w:pPr>
        <w:pStyle w:val="Heading3"/>
      </w:pPr>
      <w:r>
        <w:t xml:space="preserve">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SAM (Sequence Alignment Map):</w:t>
      </w:r>
      <w:r>
        <w:t xml:space="preserve"> </w:t>
      </w:r>
      <w:r>
        <w:t xml:space="preserve">Text format storing read alignments against a reference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Scaffold:</w:t>
      </w:r>
      <w:r>
        <w:t xml:space="preserve"> </w:t>
      </w:r>
      <w:r>
        <w:t xml:space="preserve">Ordered and oriented contigs connected by paired-end information (with gaps)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Shannon index (H’):</w:t>
      </w:r>
      <w:r>
        <w:t xml:space="preserve"> </w:t>
      </w:r>
      <w:r>
        <w:t xml:space="preserve">Alpha diversity metric combining richness and evenness: H’ = -Σ pᵢ ln(pᵢ)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Shotgun metagenomics:</w:t>
      </w:r>
      <w:r>
        <w:t xml:space="preserve"> </w:t>
      </w:r>
      <w:r>
        <w:t xml:space="preserve">Untargeted sequencing of all DNA in a sample (no PCR targeting)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SILVA:</w:t>
      </w:r>
      <w:r>
        <w:t xml:space="preserve"> </w:t>
      </w:r>
      <w:r>
        <w:t xml:space="preserve">Comprehensive ribosomal RNA database for taxonomy assignment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Simpson index (1-D):</w:t>
      </w:r>
      <w:r>
        <w:t xml:space="preserve"> </w:t>
      </w:r>
      <w:r>
        <w:t xml:space="preserve">Alpha diversity: probability that two random reads come from different taxa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SparCC:</w:t>
      </w:r>
      <w:r>
        <w:t xml:space="preserve"> </w:t>
      </w:r>
      <w:r>
        <w:t xml:space="preserve">Sparse Correlations for Compositional data — correlation method for compositional microbiome data</w:t>
      </w:r>
    </w:p>
    <w:bookmarkEnd w:id="27"/>
    <w:bookmarkStart w:id="28" w:name="t"/>
    <w:p>
      <w:pPr>
        <w:pStyle w:val="Heading3"/>
      </w:pPr>
      <w:r>
        <w:t xml:space="preserve">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Taxonomic profiling:</w:t>
      </w:r>
      <w:r>
        <w:t xml:space="preserve"> </w:t>
      </w:r>
      <w:r>
        <w:t xml:space="preserve">Identifying and quantifying the organisms present in a sample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Tetranucleotide frequency:</w:t>
      </w:r>
      <w:r>
        <w:t xml:space="preserve"> </w:t>
      </w:r>
      <w:r>
        <w:t xml:space="preserve">Frequency of all 4-bp combinations in a sequence — species-specific</w:t>
      </w:r>
      <w:r>
        <w:t xml:space="preserve"> </w:t>
      </w:r>
      <w:r>
        <w:t xml:space="preserve">“DNA signature”</w:t>
      </w:r>
      <w:r>
        <w:t xml:space="preserve"> </w:t>
      </w:r>
      <w:r>
        <w:t xml:space="preserve">used in binning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Trimmomatic:</w:t>
      </w:r>
      <w:r>
        <w:t xml:space="preserve"> </w:t>
      </w:r>
      <w:r>
        <w:t xml:space="preserve">Tool for adapter removal and quality trimming of Illumina reads</w:t>
      </w:r>
    </w:p>
    <w:bookmarkEnd w:id="28"/>
    <w:bookmarkStart w:id="29" w:name="u"/>
    <w:p>
      <w:pPr>
        <w:pStyle w:val="Heading3"/>
      </w:pPr>
      <w:r>
        <w:t xml:space="preserve">U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UniFrac:</w:t>
      </w:r>
      <w:r>
        <w:t xml:space="preserve"> </w:t>
      </w:r>
      <w:r>
        <w:t xml:space="preserve">Phylogeny-based beta diversity metric; unweighted (presence/absence) or weighted (abundance)</w:t>
      </w:r>
    </w:p>
    <w:bookmarkEnd w:id="29"/>
    <w:bookmarkStart w:id="30" w:name="v"/>
    <w:p>
      <w:pPr>
        <w:pStyle w:val="Heading3"/>
      </w:pPr>
      <w:r>
        <w:t xml:space="preserve">V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V-regions (V1-V9):</w:t>
      </w:r>
      <w:r>
        <w:t xml:space="preserve"> </w:t>
      </w:r>
      <w:r>
        <w:t xml:space="preserve">Variable regions of the 16S rRNA gene used for taxonomic identification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Volcano plot:</w:t>
      </w:r>
      <w:r>
        <w:t xml:space="preserve"> </w:t>
      </w:r>
      <w:r>
        <w:t xml:space="preserve">Scatterplot of log2 fold change vs. -log10 p-value for differential abundance visualization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landmark-papers-must-read"/>
    <w:p>
      <w:pPr>
        <w:pStyle w:val="Heading2"/>
      </w:pPr>
      <w:r>
        <w:t xml:space="preserve">Landmark Papers (Must-Read)</w:t>
      </w:r>
    </w:p>
    <w:bookmarkStart w:id="32" w:name="foundational"/>
    <w:p>
      <w:pPr>
        <w:pStyle w:val="Heading3"/>
      </w:pPr>
      <w:r>
        <w:t xml:space="preserve">Foundational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386"/>
        <w:gridCol w:w="1980"/>
        <w:gridCol w:w="33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Paper</w:t>
            </w:r>
          </w:p>
        </w:tc>
        <w:tc>
          <w:tcPr/>
          <w:p>
            <w:pPr>
              <w:pStyle w:val="Compact"/>
            </w:pPr>
            <w:r>
              <w:t xml:space="preserve">Citation</w:t>
            </w:r>
          </w:p>
        </w:tc>
        <w:tc>
          <w:tcPr/>
          <w:p>
            <w:pPr>
              <w:pStyle w:val="Compact"/>
            </w:pPr>
            <w:r>
              <w:t xml:space="preserve">Key Contribution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1998</w:t>
            </w:r>
          </w:p>
        </w:tc>
        <w:tc>
          <w:tcPr/>
          <w:p>
            <w:pPr>
              <w:pStyle w:val="Compact"/>
            </w:pPr>
            <w:r>
              <w:t xml:space="preserve">Metagenomics coined</w:t>
            </w:r>
          </w:p>
        </w:tc>
        <w:tc>
          <w:tcPr/>
          <w:p>
            <w:pPr>
              <w:pStyle w:val="Compact"/>
            </w:pPr>
            <w:r>
              <w:t xml:space="preserve">Handelsman et al.,</w:t>
            </w:r>
            <w:r>
              <w:t xml:space="preserve"> </w:t>
            </w:r>
            <w:r>
              <w:rPr>
                <w:i/>
                <w:iCs/>
              </w:rPr>
              <w:t xml:space="preserve">Chem Biol</w:t>
            </w:r>
          </w:p>
        </w:tc>
        <w:tc>
          <w:tcPr/>
          <w:p>
            <w:pPr>
              <w:pStyle w:val="Compact"/>
            </w:pPr>
            <w:r>
              <w:t xml:space="preserve">First use of</w:t>
            </w:r>
            <w:r>
              <w:t xml:space="preserve"> </w:t>
            </w:r>
            <w:r>
              <w:t xml:space="preserve">“metagenomics”</w:t>
            </w:r>
            <w:r>
              <w:t xml:space="preserve"> </w:t>
            </w:r>
            <w:r>
              <w:t xml:space="preserve">term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2007</w:t>
            </w:r>
          </w:p>
        </w:tc>
        <w:tc>
          <w:tcPr/>
          <w:p>
            <w:pPr>
              <w:pStyle w:val="Compact"/>
            </w:pPr>
            <w:r>
              <w:t xml:space="preserve">Human Microbiome Project</w:t>
            </w:r>
          </w:p>
        </w:tc>
        <w:tc>
          <w:tcPr/>
          <w:p>
            <w:pPr>
              <w:pStyle w:val="Compact"/>
            </w:pPr>
            <w:r>
              <w:t xml:space="preserve">Turnbaugh et al.,</w:t>
            </w:r>
            <w:r>
              <w:t xml:space="preserve"> </w:t>
            </w:r>
            <w:r>
              <w:rPr>
                <w:i/>
                <w:iCs/>
              </w:rPr>
              <w:t xml:space="preserve">Nature</w:t>
            </w:r>
          </w:p>
        </w:tc>
        <w:tc>
          <w:tcPr/>
          <w:p>
            <w:pPr>
              <w:pStyle w:val="Compact"/>
            </w:pPr>
            <w:r>
              <w:t xml:space="preserve">Launched systematic study of human microbiome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MetaHIT consortium</w:t>
            </w:r>
          </w:p>
        </w:tc>
        <w:tc>
          <w:tcPr/>
          <w:p>
            <w:pPr>
              <w:pStyle w:val="Compact"/>
            </w:pPr>
            <w:r>
              <w:t xml:space="preserve">Qin et al.,</w:t>
            </w:r>
            <w:r>
              <w:t xml:space="preserve"> </w:t>
            </w:r>
            <w:r>
              <w:rPr>
                <w:i/>
                <w:iCs/>
              </w:rPr>
              <w:t xml:space="preserve">Nature</w:t>
            </w:r>
          </w:p>
        </w:tc>
        <w:tc>
          <w:tcPr/>
          <w:p>
            <w:pPr>
              <w:pStyle w:val="Compact"/>
            </w:pPr>
            <w:r>
              <w:t xml:space="preserve">Catalogued 3.3 million microbial genes in human gut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2011</w:t>
            </w:r>
          </w:p>
        </w:tc>
        <w:tc>
          <w:tcPr/>
          <w:p>
            <w:pPr>
              <w:pStyle w:val="Compact"/>
            </w:pPr>
            <w:r>
              <w:t xml:space="preserve">Enterotypes</w:t>
            </w:r>
          </w:p>
        </w:tc>
        <w:tc>
          <w:tcPr/>
          <w:p>
            <w:pPr>
              <w:pStyle w:val="Compact"/>
            </w:pPr>
            <w:r>
              <w:t xml:space="preserve">Arumugam et al.,</w:t>
            </w:r>
            <w:r>
              <w:t xml:space="preserve"> </w:t>
            </w:r>
            <w:r>
              <w:rPr>
                <w:i/>
                <w:iCs/>
              </w:rPr>
              <w:t xml:space="preserve">Nature</w:t>
            </w:r>
          </w:p>
        </w:tc>
        <w:tc>
          <w:tcPr/>
          <w:p>
            <w:pPr>
              <w:pStyle w:val="Compact"/>
            </w:pPr>
            <w:r>
              <w:t xml:space="preserve">Proposed gut microbiome community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2012</w:t>
            </w:r>
          </w:p>
        </w:tc>
        <w:tc>
          <w:tcPr/>
          <w:p>
            <w:pPr>
              <w:pStyle w:val="Compact"/>
            </w:pPr>
            <w:r>
              <w:t xml:space="preserve">HMP Phase 1 results</w:t>
            </w:r>
          </w:p>
        </w:tc>
        <w:tc>
          <w:tcPr/>
          <w:p>
            <w:pPr>
              <w:pStyle w:val="Compact"/>
            </w:pPr>
            <w:r>
              <w:t xml:space="preserve">Human Microbiome Project Consortium,</w:t>
            </w:r>
            <w:r>
              <w:t xml:space="preserve"> </w:t>
            </w:r>
            <w:r>
              <w:rPr>
                <w:i/>
                <w:iCs/>
              </w:rPr>
              <w:t xml:space="preserve">Nature</w:t>
            </w:r>
          </w:p>
        </w:tc>
        <w:tc>
          <w:tcPr/>
          <w:p>
            <w:pPr>
              <w:pStyle w:val="Compact"/>
            </w:pPr>
            <w:r>
              <w:t xml:space="preserve">Characterized healthy human microbiome</w:t>
            </w:r>
          </w:p>
        </w:tc>
      </w:tr>
    </w:tbl>
    <w:bookmarkEnd w:id="32"/>
    <w:bookmarkStart w:id="33" w:name="methods"/>
    <w:p>
      <w:pPr>
        <w:pStyle w:val="Heading3"/>
      </w:pPr>
      <w:r>
        <w:t xml:space="preserve">Methods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848"/>
        <w:gridCol w:w="44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Paper</w:t>
            </w:r>
          </w:p>
        </w:tc>
        <w:tc>
          <w:tcPr/>
          <w:p>
            <w:pPr>
              <w:pStyle w:val="Compact"/>
            </w:pPr>
            <w:r>
              <w:t xml:space="preserve">Key Contribution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2016</w:t>
            </w:r>
          </w:p>
        </w:tc>
        <w:tc>
          <w:tcPr/>
          <w:p>
            <w:pPr>
              <w:pStyle w:val="Compact"/>
            </w:pPr>
            <w:r>
              <w:t xml:space="preserve">DADA2</w:t>
            </w:r>
          </w:p>
        </w:tc>
        <w:tc>
          <w:tcPr/>
          <w:p>
            <w:pPr>
              <w:pStyle w:val="Compact"/>
            </w:pPr>
            <w:r>
              <w:t xml:space="preserve">Callahan et al.,</w:t>
            </w:r>
            <w:r>
              <w:t xml:space="preserve"> </w:t>
            </w:r>
            <w:r>
              <w:rPr>
                <w:i/>
                <w:iCs/>
              </w:rPr>
              <w:t xml:space="preserve">Nature Methods</w:t>
            </w:r>
            <w:r>
              <w:t xml:space="preserve"> </w:t>
            </w:r>
            <w:r>
              <w:t xml:space="preserve">— ASV denoising algorithm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QIIME2</w:t>
            </w:r>
          </w:p>
        </w:tc>
        <w:tc>
          <w:tcPr/>
          <w:p>
            <w:pPr>
              <w:pStyle w:val="Compact"/>
            </w:pPr>
            <w:r>
              <w:t xml:space="preserve">Bolyen et al.,</w:t>
            </w:r>
            <w:r>
              <w:t xml:space="preserve"> </w:t>
            </w:r>
            <w:r>
              <w:rPr>
                <w:i/>
                <w:iCs/>
              </w:rPr>
              <w:t xml:space="preserve">Nature Biotechnology</w:t>
            </w:r>
            <w:r>
              <w:t xml:space="preserve"> </w:t>
            </w:r>
            <w:r>
              <w:t xml:space="preserve">— Comprehensive amplicon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2014</w:t>
            </w:r>
          </w:p>
        </w:tc>
        <w:tc>
          <w:tcPr/>
          <w:p>
            <w:pPr>
              <w:pStyle w:val="Compact"/>
            </w:pPr>
            <w:r>
              <w:t xml:space="preserve">Kraken</w:t>
            </w:r>
          </w:p>
        </w:tc>
        <w:tc>
          <w:tcPr/>
          <w:p>
            <w:pPr>
              <w:pStyle w:val="Compact"/>
            </w:pPr>
            <w:r>
              <w:t xml:space="preserve">Wood &amp; Salzberg,</w:t>
            </w:r>
            <w:r>
              <w:t xml:space="preserve"> </w:t>
            </w:r>
            <w:r>
              <w:rPr>
                <w:i/>
                <w:iCs/>
              </w:rPr>
              <w:t xml:space="preserve">Genome Biology</w:t>
            </w:r>
            <w:r>
              <w:t xml:space="preserve"> </w:t>
            </w:r>
            <w:r>
              <w:t xml:space="preserve">— Ultrafast taxonomic 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MetaBAT</w:t>
            </w:r>
          </w:p>
        </w:tc>
        <w:tc>
          <w:tcPr/>
          <w:p>
            <w:pPr>
              <w:pStyle w:val="Compact"/>
            </w:pPr>
            <w:r>
              <w:t xml:space="preserve">Kang et al.,</w:t>
            </w:r>
            <w:r>
              <w:t xml:space="preserve"> </w:t>
            </w:r>
            <w:r>
              <w:rPr>
                <w:i/>
                <w:iCs/>
              </w:rPr>
              <w:t xml:space="preserve">PeerJ</w:t>
            </w:r>
            <w:r>
              <w:t xml:space="preserve"> </w:t>
            </w:r>
            <w:r>
              <w:t xml:space="preserve">— Metagenome binning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GTDB</w:t>
            </w:r>
          </w:p>
        </w:tc>
        <w:tc>
          <w:tcPr/>
          <w:p>
            <w:pPr>
              <w:pStyle w:val="Compact"/>
            </w:pPr>
            <w:r>
              <w:t xml:space="preserve">Parks et al.,</w:t>
            </w:r>
            <w:r>
              <w:t xml:space="preserve"> </w:t>
            </w:r>
            <w:r>
              <w:rPr>
                <w:i/>
                <w:iCs/>
              </w:rPr>
              <w:t xml:space="preserve">Nature Biotechnology</w:t>
            </w:r>
            <w:r>
              <w:t xml:space="preserve"> </w:t>
            </w:r>
            <w:r>
              <w:t xml:space="preserve">— Genome-based taxonomy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2018</w:t>
            </w:r>
          </w:p>
        </w:tc>
        <w:tc>
          <w:tcPr/>
          <w:p>
            <w:pPr>
              <w:pStyle w:val="Compact"/>
            </w:pPr>
            <w:r>
              <w:t xml:space="preserve">CheckM</w:t>
            </w:r>
          </w:p>
        </w:tc>
        <w:tc>
          <w:tcPr/>
          <w:p>
            <w:pPr>
              <w:pStyle w:val="Compact"/>
            </w:pPr>
            <w:r>
              <w:t xml:space="preserve">Parks et al.,</w:t>
            </w:r>
            <w:r>
              <w:t xml:space="preserve"> </w:t>
            </w:r>
            <w:r>
              <w:rPr>
                <w:i/>
                <w:iCs/>
              </w:rPr>
              <w:t xml:space="preserve">Genome Research</w:t>
            </w:r>
            <w:r>
              <w:t xml:space="preserve"> </w:t>
            </w:r>
            <w:r>
              <w:t xml:space="preserve">— MAG quality 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2014</w:t>
            </w:r>
          </w:p>
        </w:tc>
        <w:tc>
          <w:tcPr/>
          <w:p>
            <w:pPr>
              <w:pStyle w:val="Compact"/>
            </w:pPr>
            <w:r>
              <w:t xml:space="preserve">DESeq2</w:t>
            </w:r>
          </w:p>
        </w:tc>
        <w:tc>
          <w:tcPr/>
          <w:p>
            <w:pPr>
              <w:pStyle w:val="Compact"/>
            </w:pPr>
            <w:r>
              <w:t xml:space="preserve">Love et al.,</w:t>
            </w:r>
            <w:r>
              <w:t xml:space="preserve"> </w:t>
            </w:r>
            <w:r>
              <w:rPr>
                <w:i/>
                <w:iCs/>
              </w:rPr>
              <w:t xml:space="preserve">Genome Biology</w:t>
            </w:r>
            <w:r>
              <w:t xml:space="preserve"> </w:t>
            </w:r>
            <w:r>
              <w:t xml:space="preserve">— Differential expression/abundance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2014</w:t>
            </w:r>
          </w:p>
        </w:tc>
        <w:tc>
          <w:tcPr/>
          <w:p>
            <w:pPr>
              <w:pStyle w:val="Compact"/>
            </w:pPr>
            <w:r>
              <w:t xml:space="preserve">ALDEx2</w:t>
            </w:r>
          </w:p>
        </w:tc>
        <w:tc>
          <w:tcPr/>
          <w:p>
            <w:pPr>
              <w:pStyle w:val="Compact"/>
            </w:pPr>
            <w:r>
              <w:t xml:space="preserve">Fernandes et al.,</w:t>
            </w:r>
            <w:r>
              <w:t xml:space="preserve"> </w:t>
            </w:r>
            <w:r>
              <w:rPr>
                <w:i/>
                <w:iCs/>
              </w:rPr>
              <w:t xml:space="preserve">Microbiome</w:t>
            </w:r>
            <w:r>
              <w:t xml:space="preserve"> </w:t>
            </w:r>
            <w:r>
              <w:t xml:space="preserve">— Compositional differential abundance</w:t>
            </w:r>
          </w:p>
        </w:tc>
      </w:tr>
    </w:tbl>
    <w:bookmarkEnd w:id="33"/>
    <w:bookmarkStart w:id="34" w:name="clinical-impact"/>
    <w:p>
      <w:pPr>
        <w:pStyle w:val="Heading3"/>
      </w:pPr>
      <w:r>
        <w:t xml:space="preserve">Clinical Impact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Paper</w:t>
            </w:r>
          </w:p>
        </w:tc>
        <w:tc>
          <w:tcPr/>
          <w:p>
            <w:pPr>
              <w:pStyle w:val="Compact"/>
            </w:pPr>
            <w:r>
              <w:t xml:space="preserve">Key Finding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2013</w:t>
            </w:r>
          </w:p>
        </w:tc>
        <w:tc>
          <w:tcPr/>
          <w:p>
            <w:pPr>
              <w:pStyle w:val="Compact"/>
            </w:pPr>
            <w:r>
              <w:t xml:space="preserve">FMT for C. difficile</w:t>
            </w:r>
          </w:p>
        </w:tc>
        <w:tc>
          <w:tcPr/>
          <w:p>
            <w:pPr>
              <w:pStyle w:val="Compact"/>
            </w:pPr>
            <w:r>
              <w:t xml:space="preserve">van Nood et al.,</w:t>
            </w:r>
            <w:r>
              <w:t xml:space="preserve"> </w:t>
            </w:r>
            <w:r>
              <w:rPr>
                <w:i/>
                <w:iCs/>
              </w:rPr>
              <w:t xml:space="preserve">NEJM</w:t>
            </w:r>
            <w:r>
              <w:t xml:space="preserve"> </w:t>
            </w:r>
            <w:r>
              <w:t xml:space="preserve">— 94% cure rate with FMT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2018</w:t>
            </w:r>
          </w:p>
        </w:tc>
        <w:tc>
          <w:tcPr/>
          <w:p>
            <w:pPr>
              <w:pStyle w:val="Compact"/>
            </w:pPr>
            <w:r>
              <w:t xml:space="preserve">Microbiome &amp; immunotherapy</w:t>
            </w:r>
          </w:p>
        </w:tc>
        <w:tc>
          <w:tcPr/>
          <w:p>
            <w:pPr>
              <w:pStyle w:val="Compact"/>
            </w:pPr>
            <w:r>
              <w:t xml:space="preserve">Routy et al.,</w:t>
            </w:r>
            <w:r>
              <w:t xml:space="preserve"> </w:t>
            </w:r>
            <w:r>
              <w:rPr>
                <w:i/>
                <w:iCs/>
              </w:rPr>
              <w:t xml:space="preserve">Science</w:t>
            </w:r>
            <w:r>
              <w:t xml:space="preserve"> </w:t>
            </w:r>
            <w:r>
              <w:t xml:space="preserve">— Gut bacteria predict cancer therapy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Microbiome &amp; depression</w:t>
            </w:r>
          </w:p>
        </w:tc>
        <w:tc>
          <w:tcPr/>
          <w:p>
            <w:pPr>
              <w:pStyle w:val="Compact"/>
            </w:pPr>
            <w:r>
              <w:t xml:space="preserve">Valles-Colomer et al.,</w:t>
            </w:r>
            <w:r>
              <w:t xml:space="preserve"> </w:t>
            </w:r>
            <w:r>
              <w:rPr>
                <w:i/>
                <w:iCs/>
              </w:rPr>
              <w:t xml:space="preserve">Nature Microbiology</w:t>
            </w:r>
            <w:r>
              <w:t xml:space="preserve"> </w:t>
            </w:r>
            <w:r>
              <w:t xml:space="preserve">— Gut-brain axis mechanisms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0" w:name="key-databases-web-resources"/>
    <w:p>
      <w:pPr>
        <w:pStyle w:val="Heading2"/>
      </w:pPr>
      <w:r>
        <w:t xml:space="preserve">Key Databases &amp; Web Resources</w:t>
      </w:r>
    </w:p>
    <w:bookmarkStart w:id="36" w:name="sequence-taxonomy-databases"/>
    <w:p>
      <w:pPr>
        <w:pStyle w:val="Heading3"/>
      </w:pPr>
      <w:r>
        <w:t xml:space="preserve">Sequence &amp; Taxonomy Databases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165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SILVA</w:t>
            </w:r>
          </w:p>
        </w:tc>
        <w:tc>
          <w:tcPr/>
          <w:p>
            <w:pPr>
              <w:pStyle w:val="Compact"/>
            </w:pPr>
            <w:r>
              <w:t xml:space="preserve">silva.de</w:t>
            </w:r>
          </w:p>
        </w:tc>
        <w:tc>
          <w:tcPr/>
          <w:p>
            <w:pPr>
              <w:pStyle w:val="Compact"/>
            </w:pPr>
            <w:r>
              <w:t xml:space="preserve">16S/18S/23S rRNA reference 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Greengenes2</w:t>
            </w:r>
          </w:p>
        </w:tc>
        <w:tc>
          <w:tcPr/>
          <w:p>
            <w:pPr>
              <w:pStyle w:val="Compact"/>
            </w:pPr>
            <w:r>
              <w:t xml:space="preserve">greengenes2.ucsd.edu</w:t>
            </w:r>
          </w:p>
        </w:tc>
        <w:tc>
          <w:tcPr/>
          <w:p>
            <w:pPr>
              <w:pStyle w:val="Compact"/>
            </w:pPr>
            <w:r>
              <w:t xml:space="preserve">16S rRNA database (genome-informed)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GTDB</w:t>
            </w:r>
          </w:p>
        </w:tc>
        <w:tc>
          <w:tcPr/>
          <w:p>
            <w:pPr>
              <w:pStyle w:val="Compact"/>
            </w:pPr>
            <w:r>
              <w:t xml:space="preserve">gtdb.ecogenomic.org</w:t>
            </w:r>
          </w:p>
        </w:tc>
        <w:tc>
          <w:tcPr/>
          <w:p>
            <w:pPr>
              <w:pStyle w:val="Compact"/>
            </w:pPr>
            <w:r>
              <w:t xml:space="preserve">Genome-based taxonomy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NCBI GenBank</w:t>
            </w:r>
          </w:p>
        </w:tc>
        <w:tc>
          <w:tcPr/>
          <w:p>
            <w:pPr>
              <w:pStyle w:val="Compact"/>
            </w:pPr>
            <w:r>
              <w:t xml:space="preserve">ncbi.nlm.nih.gov/genbank</w:t>
            </w:r>
          </w:p>
        </w:tc>
        <w:tc>
          <w:tcPr/>
          <w:p>
            <w:pPr>
              <w:pStyle w:val="Compact"/>
            </w:pPr>
            <w:r>
              <w:t xml:space="preserve">General nucleotide 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UNITE</w:t>
            </w:r>
          </w:p>
        </w:tc>
        <w:tc>
          <w:tcPr/>
          <w:p>
            <w:pPr>
              <w:pStyle w:val="Compact"/>
            </w:pPr>
            <w:r>
              <w:t xml:space="preserve">unite.ut.ee</w:t>
            </w:r>
          </w:p>
        </w:tc>
        <w:tc>
          <w:tcPr/>
          <w:p>
            <w:pPr>
              <w:pStyle w:val="Compact"/>
            </w:pPr>
            <w:r>
              <w:t xml:space="preserve">Fungal ITS 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RDP</w:t>
            </w:r>
          </w:p>
        </w:tc>
        <w:tc>
          <w:tcPr/>
          <w:p>
            <w:pPr>
              <w:pStyle w:val="Compact"/>
            </w:pPr>
            <w:r>
              <w:t xml:space="preserve">rdp.cme.msu.edu</w:t>
            </w:r>
          </w:p>
        </w:tc>
        <w:tc>
          <w:tcPr/>
          <w:p>
            <w:pPr>
              <w:pStyle w:val="Compact"/>
            </w:pPr>
            <w:r>
              <w:t xml:space="preserve">Ribosomal Database Project</w:t>
            </w:r>
          </w:p>
        </w:tc>
      </w:tr>
    </w:tbl>
    <w:bookmarkEnd w:id="36"/>
    <w:bookmarkStart w:id="37" w:name="functional-databases"/>
    <w:p>
      <w:pPr>
        <w:pStyle w:val="Heading3"/>
      </w:pPr>
      <w:r>
        <w:t xml:space="preserve">Functional Databases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165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KEGG</w:t>
            </w:r>
          </w:p>
        </w:tc>
        <w:tc>
          <w:tcPr/>
          <w:p>
            <w:pPr>
              <w:pStyle w:val="Compact"/>
            </w:pPr>
            <w:r>
              <w:t xml:space="preserve">kegg.jp</w:t>
            </w:r>
          </w:p>
        </w:tc>
        <w:tc>
          <w:tcPr/>
          <w:p>
            <w:pPr>
              <w:pStyle w:val="Compact"/>
            </w:pPr>
            <w:r>
              <w:t xml:space="preserve">Metabolic pathways and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COG/eggNOG</w:t>
            </w:r>
          </w:p>
        </w:tc>
        <w:tc>
          <w:tcPr/>
          <w:p>
            <w:pPr>
              <w:pStyle w:val="Compact"/>
            </w:pPr>
            <w:r>
              <w:t xml:space="preserve">eggnog-mapper.embl.de</w:t>
            </w:r>
          </w:p>
        </w:tc>
        <w:tc>
          <w:tcPr/>
          <w:p>
            <w:pPr>
              <w:pStyle w:val="Compact"/>
            </w:pPr>
            <w:r>
              <w:t xml:space="preserve">Orthologous group annotation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Pfam</w:t>
            </w:r>
          </w:p>
        </w:tc>
        <w:tc>
          <w:tcPr/>
          <w:p>
            <w:pPr>
              <w:pStyle w:val="Compact"/>
            </w:pPr>
            <w:r>
              <w:t xml:space="preserve">pfam.xfam.org</w:t>
            </w:r>
          </w:p>
        </w:tc>
        <w:tc>
          <w:tcPr/>
          <w:p>
            <w:pPr>
              <w:pStyle w:val="Compact"/>
            </w:pPr>
            <w:r>
              <w:t xml:space="preserve">Protein family 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UniProt</w:t>
            </w:r>
          </w:p>
        </w:tc>
        <w:tc>
          <w:tcPr/>
          <w:p>
            <w:pPr>
              <w:pStyle w:val="Compact"/>
            </w:pPr>
            <w:r>
              <w:t xml:space="preserve">uniprot.org</w:t>
            </w:r>
          </w:p>
        </w:tc>
        <w:tc>
          <w:tcPr/>
          <w:p>
            <w:pPr>
              <w:pStyle w:val="Compact"/>
            </w:pPr>
            <w:r>
              <w:t xml:space="preserve">Protein sequences and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CAZy</w:t>
            </w:r>
          </w:p>
        </w:tc>
        <w:tc>
          <w:tcPr/>
          <w:p>
            <w:pPr>
              <w:pStyle w:val="Compact"/>
            </w:pPr>
            <w:r>
              <w:t xml:space="preserve">cazy.org</w:t>
            </w:r>
          </w:p>
        </w:tc>
        <w:tc>
          <w:tcPr/>
          <w:p>
            <w:pPr>
              <w:pStyle w:val="Compact"/>
            </w:pPr>
            <w:r>
              <w:t xml:space="preserve">Carbohydrate-active enzymes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card.mcmaster.ca</w:t>
            </w:r>
          </w:p>
        </w:tc>
        <w:tc>
          <w:tcPr/>
          <w:p>
            <w:pPr>
              <w:pStyle w:val="Compact"/>
            </w:pPr>
            <w:r>
              <w:t xml:space="preserve">Antimicrobial resistance genes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VFDB</w:t>
            </w:r>
          </w:p>
        </w:tc>
        <w:tc>
          <w:tcPr/>
          <w:p>
            <w:pPr>
              <w:pStyle w:val="Compact"/>
            </w:pPr>
            <w:r>
              <w:t xml:space="preserve">mgc.ac.cn/VFs</w:t>
            </w:r>
          </w:p>
        </w:tc>
        <w:tc>
          <w:tcPr/>
          <w:p>
            <w:pPr>
              <w:pStyle w:val="Compact"/>
            </w:pPr>
            <w:r>
              <w:t xml:space="preserve">Virulence factors database</w:t>
            </w:r>
          </w:p>
        </w:tc>
      </w:tr>
    </w:tbl>
    <w:bookmarkEnd w:id="37"/>
    <w:bookmarkStart w:id="38" w:name="analysis-platforms-tools"/>
    <w:p>
      <w:pPr>
        <w:pStyle w:val="Heading3"/>
      </w:pPr>
      <w:r>
        <w:t xml:space="preserve">Analysis Platforms &amp; Tools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165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QIIME2 View</w:t>
            </w:r>
          </w:p>
        </w:tc>
        <w:tc>
          <w:tcPr/>
          <w:p>
            <w:pPr>
              <w:pStyle w:val="Compact"/>
            </w:pPr>
            <w:r>
              <w:t xml:space="preserve">view.qiime2.org</w:t>
            </w:r>
          </w:p>
        </w:tc>
        <w:tc>
          <w:tcPr/>
          <w:p>
            <w:pPr>
              <w:pStyle w:val="Compact"/>
            </w:pPr>
            <w:r>
              <w:t xml:space="preserve">View QIIME2 visualizations online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Galaxy</w:t>
            </w:r>
          </w:p>
        </w:tc>
        <w:tc>
          <w:tcPr/>
          <w:p>
            <w:pPr>
              <w:pStyle w:val="Compact"/>
            </w:pPr>
            <w:r>
              <w:t xml:space="preserve">usegalaxy.org</w:t>
            </w:r>
          </w:p>
        </w:tc>
        <w:tc>
          <w:tcPr/>
          <w:p>
            <w:pPr>
              <w:pStyle w:val="Compact"/>
            </w:pPr>
            <w:r>
              <w:t xml:space="preserve">Web-based analysis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MG-RAST</w:t>
            </w:r>
          </w:p>
        </w:tc>
        <w:tc>
          <w:tcPr/>
          <w:p>
            <w:pPr>
              <w:pStyle w:val="Compact"/>
            </w:pPr>
            <w:r>
              <w:t xml:space="preserve">metagenomics.anl.gov</w:t>
            </w:r>
          </w:p>
        </w:tc>
        <w:tc>
          <w:tcPr/>
          <w:p>
            <w:pPr>
              <w:pStyle w:val="Compact"/>
            </w:pPr>
            <w:r>
              <w:t xml:space="preserve">Metagenome annotation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KBase</w:t>
            </w:r>
          </w:p>
        </w:tc>
        <w:tc>
          <w:tcPr/>
          <w:p>
            <w:pPr>
              <w:pStyle w:val="Compact"/>
            </w:pPr>
            <w:r>
              <w:t xml:space="preserve">kbase.us</w:t>
            </w:r>
          </w:p>
        </w:tc>
        <w:tc>
          <w:tcPr/>
          <w:p>
            <w:pPr>
              <w:pStyle w:val="Compact"/>
            </w:pPr>
            <w:r>
              <w:t xml:space="preserve">DOE Systems Biology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iVikodak</w:t>
            </w:r>
          </w:p>
        </w:tc>
        <w:tc>
          <w:tcPr/>
          <w:p>
            <w:pPr>
              <w:pStyle w:val="Compact"/>
            </w:pPr>
            <w:r>
              <w:t xml:space="preserve">web.rniapps.net/iVikodak</w:t>
            </w:r>
          </w:p>
        </w:tc>
        <w:tc>
          <w:tcPr/>
          <w:p>
            <w:pPr>
              <w:pStyle w:val="Compact"/>
            </w:pPr>
            <w:r>
              <w:t xml:space="preserve">Functional metagenomics</w:t>
            </w:r>
          </w:p>
        </w:tc>
      </w:tr>
    </w:tbl>
    <w:bookmarkEnd w:id="38"/>
    <w:bookmarkStart w:id="39" w:name="microbiome-specific-repositories"/>
    <w:p>
      <w:pPr>
        <w:pStyle w:val="Heading3"/>
      </w:pPr>
      <w:r>
        <w:t xml:space="preserve">Microbiome-Specific Repositories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165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EBI MGnify</w:t>
            </w:r>
          </w:p>
        </w:tc>
        <w:tc>
          <w:tcPr/>
          <w:p>
            <w:pPr>
              <w:pStyle w:val="Compact"/>
            </w:pPr>
            <w:r>
              <w:t xml:space="preserve">ebi.ac.uk/metagenomics</w:t>
            </w:r>
          </w:p>
        </w:tc>
        <w:tc>
          <w:tcPr/>
          <w:p>
            <w:pPr>
              <w:pStyle w:val="Compact"/>
            </w:pPr>
            <w:r>
              <w:t xml:space="preserve">Metagenome data analysis &amp; archiving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GMrepo</w:t>
            </w:r>
          </w:p>
        </w:tc>
        <w:tc>
          <w:tcPr/>
          <w:p>
            <w:pPr>
              <w:pStyle w:val="Compact"/>
            </w:pPr>
            <w:r>
              <w:t xml:space="preserve">gmrepo.humangut.info</w:t>
            </w:r>
          </w:p>
        </w:tc>
        <w:tc>
          <w:tcPr/>
          <w:p>
            <w:pPr>
              <w:pStyle w:val="Compact"/>
            </w:pPr>
            <w:r>
              <w:t xml:space="preserve">Curated human gut microbiome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curatedMetagenomicData</w:t>
            </w:r>
          </w:p>
        </w:tc>
        <w:tc>
          <w:tcPr/>
          <w:p>
            <w:pPr>
              <w:pStyle w:val="Compact"/>
            </w:pPr>
            <w:r>
              <w:t xml:space="preserve">bioconductor.org</w:t>
            </w:r>
          </w:p>
        </w:tc>
        <w:tc>
          <w:tcPr/>
          <w:p>
            <w:pPr>
              <w:pStyle w:val="Compact"/>
            </w:pPr>
            <w:r>
              <w:t xml:space="preserve">Standardized human metagenomes (R)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MicrobiomeDB</w:t>
            </w:r>
          </w:p>
        </w:tc>
        <w:tc>
          <w:tcPr/>
          <w:p>
            <w:pPr>
              <w:pStyle w:val="Compact"/>
            </w:pPr>
            <w:r>
              <w:t xml:space="preserve">microbiomedb.org</w:t>
            </w:r>
          </w:p>
        </w:tc>
        <w:tc>
          <w:tcPr/>
          <w:p>
            <w:pPr>
              <w:pStyle w:val="Compact"/>
            </w:pPr>
            <w:r>
              <w:t xml:space="preserve">Microbiome data discovery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QIITA</w:t>
            </w:r>
          </w:p>
        </w:tc>
        <w:tc>
          <w:tcPr/>
          <w:p>
            <w:pPr>
              <w:pStyle w:val="Compact"/>
            </w:pPr>
            <w:r>
              <w:t xml:space="preserve">qiita.ucsd.edu</w:t>
            </w:r>
          </w:p>
        </w:tc>
        <w:tc>
          <w:tcPr/>
          <w:p>
            <w:pPr>
              <w:pStyle w:val="Compact"/>
            </w:pPr>
            <w:r>
              <w:t xml:space="preserve">Microbiome multi-study platform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1" w:name="recommended-books"/>
    <w:p>
      <w:pPr>
        <w:pStyle w:val="Heading2"/>
      </w:pPr>
      <w:r>
        <w:t xml:space="preserve">Recommended Books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2851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</w:t>
            </w:r>
          </w:p>
        </w:tc>
        <w:tc>
          <w:tcPr/>
          <w:p>
            <w:pPr>
              <w:pStyle w:val="Compact"/>
            </w:pPr>
            <w:r>
              <w:t xml:space="preserve">Authors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Metagenomics: Methods and Protocols</w:t>
            </w:r>
          </w:p>
        </w:tc>
        <w:tc>
          <w:tcPr/>
          <w:p>
            <w:pPr>
              <w:pStyle w:val="Compact"/>
            </w:pPr>
            <w:r>
              <w:t xml:space="preserve">Streit &amp; Daniel (eds.)</w:t>
            </w:r>
          </w:p>
        </w:tc>
        <w:tc>
          <w:tcPr/>
          <w:p>
            <w:pPr>
              <w:pStyle w:val="Compact"/>
            </w:pPr>
            <w:r>
              <w:t xml:space="preserve">Comprehensive lab + computational methods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Bioinformatics and Functional Genomics</w:t>
            </w:r>
          </w:p>
        </w:tc>
        <w:tc>
          <w:tcPr/>
          <w:p>
            <w:pPr>
              <w:pStyle w:val="Compact"/>
            </w:pPr>
            <w:r>
              <w:t xml:space="preserve">Pevsner</w:t>
            </w:r>
          </w:p>
        </w:tc>
        <w:tc>
          <w:tcPr/>
          <w:p>
            <w:pPr>
              <w:pStyle w:val="Compact"/>
            </w:pPr>
            <w:r>
              <w:t xml:space="preserve">General bioinformatics foundation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Statistical Analysis of Microbiome Data with R</w:t>
            </w:r>
          </w:p>
        </w:tc>
        <w:tc>
          <w:tcPr/>
          <w:p>
            <w:pPr>
              <w:pStyle w:val="Compact"/>
            </w:pPr>
            <w:r>
              <w:t xml:space="preserve">Xia, Sun &amp; Chen</w:t>
            </w:r>
          </w:p>
        </w:tc>
        <w:tc>
          <w:tcPr/>
          <w:p>
            <w:pPr>
              <w:pStyle w:val="Compact"/>
            </w:pPr>
            <w:r>
              <w:t xml:space="preserve">R-based statistical methods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Human Superorganism</w:t>
            </w:r>
          </w:p>
        </w:tc>
        <w:tc>
          <w:tcPr/>
          <w:p>
            <w:pPr>
              <w:pStyle w:val="Compact"/>
            </w:pPr>
            <w:r>
              <w:t xml:space="preserve">Dietert</w:t>
            </w:r>
          </w:p>
        </w:tc>
        <w:tc>
          <w:tcPr/>
          <w:p>
            <w:pPr>
              <w:pStyle w:val="Compact"/>
            </w:pPr>
            <w:r>
              <w:t xml:space="preserve">Accessible introduction to the microbiome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 Contain Multitudes</w:t>
            </w:r>
          </w:p>
        </w:tc>
        <w:tc>
          <w:tcPr/>
          <w:p>
            <w:pPr>
              <w:pStyle w:val="Compact"/>
            </w:pPr>
            <w:r>
              <w:t xml:space="preserve">Ed Yong</w:t>
            </w:r>
          </w:p>
        </w:tc>
        <w:tc>
          <w:tcPr/>
          <w:p>
            <w:pPr>
              <w:pStyle w:val="Compact"/>
            </w:pPr>
            <w:r>
              <w:t xml:space="preserve">Popular science — engaging microbiome overview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 Introduction to Systems Biology</w:t>
            </w:r>
          </w:p>
        </w:tc>
        <w:tc>
          <w:tcPr/>
          <w:p>
            <w:pPr>
              <w:pStyle w:val="Compact"/>
            </w:pPr>
            <w:r>
              <w:t xml:space="preserve">Karthik Raman</w:t>
            </w:r>
          </w:p>
        </w:tc>
        <w:tc>
          <w:tcPr/>
          <w:p>
            <w:pPr>
              <w:pStyle w:val="Compact"/>
            </w:pPr>
            <w:r>
              <w:t xml:space="preserve">Systems-level thinking for biology (by workshop instructor!)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online-courses-tutorials"/>
    <w:p>
      <w:pPr>
        <w:pStyle w:val="Heading2"/>
      </w:pPr>
      <w:r>
        <w:t xml:space="preserve">Online Courses &amp; Tutorials</w:t>
      </w:r>
    </w:p>
    <w:bookmarkStart w:id="42" w:name="free-courses"/>
    <w:p>
      <w:pPr>
        <w:pStyle w:val="Heading3"/>
      </w:pPr>
      <w:r>
        <w:t xml:space="preserve">Free Courses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QIIME2 Tutorials</w:t>
      </w:r>
      <w:r>
        <w:t xml:space="preserve"> </w:t>
      </w:r>
      <w:r>
        <w:t xml:space="preserve">— docs.qiime2.org — Official step-by-step tutorials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Bioinformatics Workbook</w:t>
      </w:r>
      <w:r>
        <w:t xml:space="preserve"> </w:t>
      </w:r>
      <w:r>
        <w:t xml:space="preserve">— bioinformaticsworkbook.org — ISU metagenomics tutorial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Happy Belly Bioinformatics</w:t>
      </w:r>
      <w:r>
        <w:t xml:space="preserve"> </w:t>
      </w:r>
      <w:r>
        <w:t xml:space="preserve">— astrobiomike.github.io — Beginner-friendly metagenomics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Microbiome Helper</w:t>
      </w:r>
      <w:r>
        <w:t xml:space="preserve"> </w:t>
      </w:r>
      <w:r>
        <w:t xml:space="preserve">— github.com/LangilleLab/microbiome_helper — Workflow tutorials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EDAMAME course</w:t>
      </w:r>
      <w:r>
        <w:t xml:space="preserve"> </w:t>
      </w:r>
      <w:r>
        <w:t xml:space="preserve">— edamame-course.org — Environmental genomics workshop materials</w:t>
      </w:r>
    </w:p>
    <w:bookmarkEnd w:id="42"/>
    <w:bookmarkStart w:id="43" w:name="youtube-channels"/>
    <w:p>
      <w:pPr>
        <w:pStyle w:val="Heading3"/>
      </w:pPr>
      <w:r>
        <w:t xml:space="preserve">YouTube Channels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StatQuest</w:t>
      </w:r>
      <w:r>
        <w:t xml:space="preserve"> </w:t>
      </w:r>
      <w:r>
        <w:t xml:space="preserve">(Josh Starmer) — Statistical concepts explained visually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Riffomonas Project</w:t>
      </w:r>
      <w:r>
        <w:t xml:space="preserve"> </w:t>
      </w:r>
      <w:r>
        <w:t xml:space="preserve">(Pat Schloss) — R for microbiome analysis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iBiology</w:t>
      </w:r>
      <w:r>
        <w:t xml:space="preserve"> </w:t>
      </w:r>
      <w:r>
        <w:t xml:space="preserve">— Research talks including metagenomics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software-version-reference"/>
    <w:p>
      <w:pPr>
        <w:pStyle w:val="Heading2"/>
      </w:pPr>
      <w:r>
        <w:t xml:space="preserve">Software Version Reference</w:t>
      </w:r>
    </w:p>
    <w:p>
      <w:pPr>
        <w:pStyle w:val="FirstParagraph"/>
      </w:pPr>
      <w:r>
        <w:rPr>
          <w:i/>
          <w:iCs/>
        </w:rPr>
        <w:t xml:space="preserve">Versions current as of workshop date (April 2026). Always check for updates.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Typical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QIIME2</w:t>
            </w:r>
          </w:p>
        </w:tc>
        <w:tc>
          <w:tcPr/>
          <w:p>
            <w:pPr>
              <w:pStyle w:val="Compact"/>
            </w:pPr>
            <w:r>
              <w:t xml:space="preserve">Amplicon platform</w:t>
            </w:r>
          </w:p>
        </w:tc>
        <w:tc>
          <w:tcPr/>
          <w:p>
            <w:pPr>
              <w:pStyle w:val="Compact"/>
            </w:pPr>
            <w:r>
              <w:t xml:space="preserve">2024.10+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DADA2</w:t>
            </w:r>
          </w:p>
        </w:tc>
        <w:tc>
          <w:tcPr/>
          <w:p>
            <w:pPr>
              <w:pStyle w:val="Compact"/>
            </w:pPr>
            <w:r>
              <w:t xml:space="preserve">ASV denoising</w:t>
            </w:r>
          </w:p>
        </w:tc>
        <w:tc>
          <w:tcPr/>
          <w:p>
            <w:pPr>
              <w:pStyle w:val="Compact"/>
            </w:pPr>
            <w:r>
              <w:t xml:space="preserve">1.28+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FastQC</w:t>
            </w:r>
          </w:p>
        </w:tc>
        <w:tc>
          <w:tcPr/>
          <w:p>
            <w:pPr>
              <w:pStyle w:val="Compact"/>
            </w:pPr>
            <w:r>
              <w:t xml:space="preserve">Quality check</w:t>
            </w:r>
          </w:p>
        </w:tc>
        <w:tc>
          <w:tcPr/>
          <w:p>
            <w:pPr>
              <w:pStyle w:val="Compact"/>
            </w:pPr>
            <w:r>
              <w:t xml:space="preserve">0.12+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MultiQC</w:t>
            </w:r>
          </w:p>
        </w:tc>
        <w:tc>
          <w:tcPr/>
          <w:p>
            <w:pPr>
              <w:pStyle w:val="Compact"/>
            </w:pPr>
            <w:r>
              <w:t xml:space="preserve">QC aggregation</w:t>
            </w:r>
          </w:p>
        </w:tc>
        <w:tc>
          <w:tcPr/>
          <w:p>
            <w:pPr>
              <w:pStyle w:val="Compact"/>
            </w:pPr>
            <w:r>
              <w:t xml:space="preserve">1.21+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Trimmomatic</w:t>
            </w:r>
          </w:p>
        </w:tc>
        <w:tc>
          <w:tcPr/>
          <w:p>
            <w:pPr>
              <w:pStyle w:val="Compact"/>
            </w:pPr>
            <w:r>
              <w:t xml:space="preserve">Read trimming</w:t>
            </w:r>
          </w:p>
        </w:tc>
        <w:tc>
          <w:tcPr/>
          <w:p>
            <w:pPr>
              <w:pStyle w:val="Compact"/>
            </w:pPr>
            <w:r>
              <w:t xml:space="preserve">0.39+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Kraken2</w:t>
            </w:r>
          </w:p>
        </w:tc>
        <w:tc>
          <w:tcPr/>
          <w:p>
            <w:pPr>
              <w:pStyle w:val="Compact"/>
            </w:pPr>
            <w:r>
              <w:t xml:space="preserve">Taxonomic classification</w:t>
            </w:r>
          </w:p>
        </w:tc>
        <w:tc>
          <w:tcPr/>
          <w:p>
            <w:pPr>
              <w:pStyle w:val="Compact"/>
            </w:pPr>
            <w:r>
              <w:t xml:space="preserve">2.1.3+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Bracken</w:t>
            </w:r>
          </w:p>
        </w:tc>
        <w:tc>
          <w:tcPr/>
          <w:p>
            <w:pPr>
              <w:pStyle w:val="Compact"/>
            </w:pPr>
            <w:r>
              <w:t xml:space="preserve">Abundance estimation</w:t>
            </w:r>
          </w:p>
        </w:tc>
        <w:tc>
          <w:tcPr/>
          <w:p>
            <w:pPr>
              <w:pStyle w:val="Compact"/>
            </w:pPr>
            <w:r>
              <w:t xml:space="preserve">2.9+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MEGAHIT</w:t>
            </w:r>
          </w:p>
        </w:tc>
        <w:tc>
          <w:tcPr/>
          <w:p>
            <w:pPr>
              <w:pStyle w:val="Compact"/>
            </w:pPr>
            <w:r>
              <w:t xml:space="preserve">Metagenome assembly</w:t>
            </w:r>
          </w:p>
        </w:tc>
        <w:tc>
          <w:tcPr/>
          <w:p>
            <w:pPr>
              <w:pStyle w:val="Compact"/>
            </w:pPr>
            <w:r>
              <w:t xml:space="preserve">1.2.9+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MetaBAT2</w:t>
            </w:r>
          </w:p>
        </w:tc>
        <w:tc>
          <w:tcPr/>
          <w:p>
            <w:pPr>
              <w:pStyle w:val="Compact"/>
            </w:pPr>
            <w:r>
              <w:t xml:space="preserve">Binning</w:t>
            </w:r>
          </w:p>
        </w:tc>
        <w:tc>
          <w:tcPr/>
          <w:p>
            <w:pPr>
              <w:pStyle w:val="Compact"/>
            </w:pPr>
            <w:r>
              <w:t xml:space="preserve">2.15+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MaxBin2</w:t>
            </w:r>
          </w:p>
        </w:tc>
        <w:tc>
          <w:tcPr/>
          <w:p>
            <w:pPr>
              <w:pStyle w:val="Compact"/>
            </w:pPr>
            <w:r>
              <w:t xml:space="preserve">Binning</w:t>
            </w:r>
          </w:p>
        </w:tc>
        <w:tc>
          <w:tcPr/>
          <w:p>
            <w:pPr>
              <w:pStyle w:val="Compact"/>
            </w:pPr>
            <w:r>
              <w:t xml:space="preserve">2.2.7+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 Tool</w:t>
            </w:r>
          </w:p>
        </w:tc>
        <w:tc>
          <w:tcPr/>
          <w:p>
            <w:pPr>
              <w:pStyle w:val="Compact"/>
            </w:pPr>
            <w:r>
              <w:t xml:space="preserve">Bin refinement</w:t>
            </w:r>
          </w:p>
        </w:tc>
        <w:tc>
          <w:tcPr/>
          <w:p>
            <w:pPr>
              <w:pStyle w:val="Compact"/>
            </w:pPr>
            <w:r>
              <w:t xml:space="preserve">1.1.6+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CheckM/CheckM2</w:t>
            </w:r>
          </w:p>
        </w:tc>
        <w:tc>
          <w:tcPr/>
          <w:p>
            <w:pPr>
              <w:pStyle w:val="Compact"/>
            </w:pPr>
            <w:r>
              <w:t xml:space="preserve">MAG quality</w:t>
            </w:r>
          </w:p>
        </w:tc>
        <w:tc>
          <w:tcPr/>
          <w:p>
            <w:pPr>
              <w:pStyle w:val="Compact"/>
            </w:pPr>
            <w:r>
              <w:t xml:space="preserve">1.2.2+ / 1.0+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GTDBTk</w:t>
            </w:r>
          </w:p>
        </w:tc>
        <w:tc>
          <w:tcPr/>
          <w:p>
            <w:pPr>
              <w:pStyle w:val="Compact"/>
            </w:pPr>
            <w:r>
              <w:t xml:space="preserve">Genome taxonomy</w:t>
            </w:r>
          </w:p>
        </w:tc>
        <w:tc>
          <w:tcPr/>
          <w:p>
            <w:pPr>
              <w:pStyle w:val="Compact"/>
            </w:pPr>
            <w:r>
              <w:t xml:space="preserve">2.3+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Prokka</w:t>
            </w:r>
          </w:p>
        </w:tc>
        <w:tc>
          <w:tcPr/>
          <w:p>
            <w:pPr>
              <w:pStyle w:val="Compact"/>
            </w:pPr>
            <w:r>
              <w:t xml:space="preserve">Gene annotation</w:t>
            </w:r>
          </w:p>
        </w:tc>
        <w:tc>
          <w:tcPr/>
          <w:p>
            <w:pPr>
              <w:pStyle w:val="Compact"/>
            </w:pPr>
            <w:r>
              <w:t xml:space="preserve">1.14+</w:t>
            </w:r>
          </w:p>
        </w:tc>
      </w:tr>
      <w:tr>
        <w:tc>
          <w:tcPr/>
          <w:p>
            <w:pPr>
              <w:pStyle w:val="Compact"/>
            </w:pPr>
            <w:r>
              <w:t xml:space="preserve">eggNOG-mapper</w:t>
            </w:r>
          </w:p>
        </w:tc>
        <w:tc>
          <w:tcPr/>
          <w:p>
            <w:pPr>
              <w:pStyle w:val="Compact"/>
            </w:pPr>
            <w:r>
              <w:t xml:space="preserve">Functional annotation</w:t>
            </w:r>
          </w:p>
        </w:tc>
        <w:tc>
          <w:tcPr/>
          <w:p>
            <w:pPr>
              <w:pStyle w:val="Compact"/>
            </w:pPr>
            <w:r>
              <w:t xml:space="preserve">2.1+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phyloseq (R)</w:t>
            </w:r>
          </w:p>
        </w:tc>
        <w:tc>
          <w:tcPr/>
          <w:p>
            <w:pPr>
              <w:pStyle w:val="Compact"/>
            </w:pPr>
            <w:r>
              <w:t xml:space="preserve">Microbiome analysis</w:t>
            </w:r>
          </w:p>
        </w:tc>
        <w:tc>
          <w:tcPr/>
          <w:p>
            <w:pPr>
              <w:pStyle w:val="Compact"/>
            </w:pPr>
            <w:r>
              <w:t xml:space="preserve">1.44+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vegan (R)</w:t>
            </w:r>
          </w:p>
        </w:tc>
        <w:tc>
          <w:tcPr/>
          <w:p>
            <w:pPr>
              <w:pStyle w:val="Compact"/>
            </w:pPr>
            <w:r>
              <w:t xml:space="preserve">Ecological statistics</w:t>
            </w:r>
          </w:p>
        </w:tc>
        <w:tc>
          <w:tcPr/>
          <w:p>
            <w:pPr>
              <w:pStyle w:val="Compact"/>
            </w:pPr>
            <w:r>
              <w:t xml:space="preserve">2.6+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DESeq2 (R)</w:t>
            </w:r>
          </w:p>
        </w:tc>
        <w:tc>
          <w:tcPr/>
          <w:p>
            <w:pPr>
              <w:pStyle w:val="Compact"/>
            </w:pPr>
            <w:r>
              <w:t xml:space="preserve">Differential abundance</w:t>
            </w:r>
          </w:p>
        </w:tc>
        <w:tc>
          <w:tcPr/>
          <w:p>
            <w:pPr>
              <w:pStyle w:val="Compact"/>
            </w:pPr>
            <w:r>
              <w:t xml:space="preserve">1.40+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ALDEx2 (R)</w:t>
            </w:r>
          </w:p>
        </w:tc>
        <w:tc>
          <w:tcPr/>
          <w:p>
            <w:pPr>
              <w:pStyle w:val="Compact"/>
            </w:pPr>
            <w:r>
              <w:t xml:space="preserve">Compositional DA</w:t>
            </w:r>
          </w:p>
        </w:tc>
        <w:tc>
          <w:tcPr/>
          <w:p>
            <w:pPr>
              <w:pStyle w:val="Compact"/>
            </w:pPr>
            <w:r>
              <w:t xml:space="preserve">1.32+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9" w:name="post-workshop-what-to-do-next"/>
    <w:p>
      <w:pPr>
        <w:pStyle w:val="Heading2"/>
      </w:pPr>
      <w:r>
        <w:t xml:space="preserve">Post-Workshop: What to Do Next</w:t>
      </w:r>
    </w:p>
    <w:bookmarkStart w:id="46" w:name="immediate-week-1"/>
    <w:p>
      <w:pPr>
        <w:pStyle w:val="Heading3"/>
      </w:pPr>
      <w:r>
        <w:t xml:space="preserve">Immediate (Week 1)</w:t>
      </w:r>
    </w:p>
    <w:p>
      <w:pPr>
        <w:pStyle w:val="Compact"/>
        <w:numPr>
          <w:ilvl w:val="0"/>
          <w:numId w:val="1024"/>
        </w:numPr>
      </w:pPr>
      <w:r>
        <w:t xml:space="preserve">Practice the complete pipeline on workshop demo data</w:t>
      </w:r>
    </w:p>
    <w:p>
      <w:pPr>
        <w:pStyle w:val="Compact"/>
        <w:numPr>
          <w:ilvl w:val="0"/>
          <w:numId w:val="1025"/>
        </w:numPr>
      </w:pPr>
      <w:r>
        <w:t xml:space="preserve">Try running the pipeline on a publicly available dataset (e.g., from MGnify)</w:t>
      </w:r>
    </w:p>
    <w:p>
      <w:pPr>
        <w:pStyle w:val="Compact"/>
        <w:numPr>
          <w:ilvl w:val="0"/>
          <w:numId w:val="1026"/>
        </w:numPr>
      </w:pPr>
      <w:r>
        <w:t xml:space="preserve">Review your notes and fill in any gaps using this material</w:t>
      </w:r>
    </w:p>
    <w:bookmarkEnd w:id="46"/>
    <w:bookmarkStart w:id="47" w:name="short-term-month-1"/>
    <w:p>
      <w:pPr>
        <w:pStyle w:val="Heading3"/>
      </w:pPr>
      <w:r>
        <w:t xml:space="preserve">Short-Term (Month 1)</w:t>
      </w:r>
    </w:p>
    <w:p>
      <w:pPr>
        <w:pStyle w:val="Compact"/>
        <w:numPr>
          <w:ilvl w:val="0"/>
          <w:numId w:val="1027"/>
        </w:numPr>
      </w:pPr>
      <w:r>
        <w:t xml:space="preserve">Apply skills to your own research data</w:t>
      </w:r>
    </w:p>
    <w:p>
      <w:pPr>
        <w:pStyle w:val="Compact"/>
        <w:numPr>
          <w:ilvl w:val="0"/>
          <w:numId w:val="1028"/>
        </w:numPr>
      </w:pPr>
      <w:r>
        <w:t xml:space="preserve">Read 2-3 landmark papers relevant to your field</w:t>
      </w:r>
    </w:p>
    <w:p>
      <w:pPr>
        <w:pStyle w:val="Compact"/>
        <w:numPr>
          <w:ilvl w:val="0"/>
          <w:numId w:val="1029"/>
        </w:numPr>
      </w:pPr>
      <w:r>
        <w:t xml:space="preserve">Join the QIIME2 Forum (forum.qiime2.org) for community support</w:t>
      </w:r>
    </w:p>
    <w:p>
      <w:pPr>
        <w:pStyle w:val="Compact"/>
        <w:numPr>
          <w:ilvl w:val="0"/>
          <w:numId w:val="1030"/>
        </w:numPr>
      </w:pPr>
      <w:r>
        <w:t xml:space="preserve">Explore the Bioconductor microbiome packages in R</w:t>
      </w:r>
    </w:p>
    <w:bookmarkEnd w:id="47"/>
    <w:bookmarkStart w:id="48" w:name="long-term-months-2-6"/>
    <w:p>
      <w:pPr>
        <w:pStyle w:val="Heading3"/>
      </w:pPr>
      <w:r>
        <w:t xml:space="preserve">Long-Term (Months 2-6)</w:t>
      </w:r>
    </w:p>
    <w:p>
      <w:pPr>
        <w:pStyle w:val="Compact"/>
        <w:numPr>
          <w:ilvl w:val="0"/>
          <w:numId w:val="1031"/>
        </w:numPr>
      </w:pPr>
      <w:r>
        <w:t xml:space="preserve">Learn shell scripting to automate your workflows</w:t>
      </w:r>
    </w:p>
    <w:p>
      <w:pPr>
        <w:pStyle w:val="Compact"/>
        <w:numPr>
          <w:ilvl w:val="0"/>
          <w:numId w:val="1032"/>
        </w:numPr>
      </w:pPr>
      <w:r>
        <w:t xml:space="preserve">Explore additional tools (HUMAnN3 for functional profiling, PhyloPhlAn, etc.)</w:t>
      </w:r>
    </w:p>
    <w:p>
      <w:pPr>
        <w:pStyle w:val="Compact"/>
        <w:numPr>
          <w:ilvl w:val="0"/>
          <w:numId w:val="1033"/>
        </w:numPr>
      </w:pPr>
      <w:r>
        <w:t xml:space="preserve">Consider multi-omics integration (metatranscriptomics, metabolomics)</w:t>
      </w:r>
    </w:p>
    <w:p>
      <w:pPr>
        <w:pStyle w:val="Compact"/>
        <w:numPr>
          <w:ilvl w:val="0"/>
          <w:numId w:val="1034"/>
        </w:numPr>
      </w:pPr>
      <w:r>
        <w:t xml:space="preserve">Attend conferences: ISME, ASM Microbe, ISMB</w:t>
      </w:r>
    </w:p>
    <w:p>
      <w:pPr>
        <w:pStyle w:val="Compact"/>
        <w:numPr>
          <w:ilvl w:val="0"/>
          <w:numId w:val="1035"/>
        </w:numPr>
      </w:pPr>
      <w:r>
        <w:t xml:space="preserve">Consider contributing to open-source bioinformatics tools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“The microbiome is an ecosystem. To understand it, you need both biology and computation. This workshop gave you the computational tools — now go explore the biology.”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Workshop Materials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2026-03-31T17:21:57Z</dcterms:created>
  <dcterms:modified xsi:type="dcterms:W3CDTF">2026-03-31T17:21:57Z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