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ab447ee909913526257c9ca330aa56ae56a7e0"/>
    <w:p>
      <w:pPr>
        <w:pStyle w:val="Heading1"/>
      </w:pPr>
      <w:r>
        <w:t xml:space="preserve">Title: A Practical Educational Roadmap for Computational Metagenomics: From 16S Amplicon to Shotgun Sequencing and Statistical Integration</w:t>
      </w:r>
    </w:p>
    <w:bookmarkStart w:id="9" w:name="abstract"/>
    <w:p>
      <w:pPr>
        <w:pStyle w:val="Heading2"/>
      </w:pPr>
      <w:r>
        <w:t xml:space="preserve">Abstract</w:t>
      </w:r>
    </w:p>
    <w:p>
      <w:pPr>
        <w:pStyle w:val="FirstParagraph"/>
      </w:pPr>
      <w:r>
        <w:t xml:space="preserve">The rapid evolution of high-throughput DNA sequencing has transformed microbial ecology, yet the computational analysis necessary to interpret metagenomic data remains a formidable barrier for many researchers. Recognizing this gap, we present a comprehensive, practical tutorial designed both as a reference for bioinformatics workshops and as a standalone guide. We navigate the complete trajectory of metagenomic data analysis—distinguishing between the targeted nature of 16S rRNA amplicon profiling and the comprehensive functional scope of shotgun metagenomics. First, we outline the modern shift from Operational Taxonomic Units (OTUs) to exact Amplicon Sequence Variants (ASVs) using QIIME2 and DADA2. Next, we structure the complexities of shotgun metagenomics into parallel read-based (taxonomy first) and assembly-based (Metagenome-Assembled Genomes, MAGs) workflows. Crucially, we unpack the unique statistical properties of microbiome datasets, specifically compositionality and zero-inflation, guiding users through modern normalization techniques (e.g., Centered Log-Ratio) to valid differential abundance testing (DESeq2, ALDEx2). By standardizing these approaches, this roadmap empowers researchers to correctly infer biological insights from their metagenomic cohorts.</w:t>
      </w:r>
    </w:p>
    <w:p>
      <w:r>
        <w:pict>
          <v:rect style="width:0;height:1.5pt" o:hralign="center" o:hrstd="t" o:hr="t"/>
        </w:pict>
      </w:r>
    </w:p>
    <w:bookmarkEnd w:id="9"/>
    <w:bookmarkStart w:id="10" w:name="introduction-culturing-the-unculturable"/>
    <w:p>
      <w:pPr>
        <w:pStyle w:val="Heading2"/>
      </w:pPr>
      <w:r>
        <w:t xml:space="preserve">1. Introduction: Culturing the Unculturable</w:t>
      </w:r>
    </w:p>
    <w:p>
      <w:pPr>
        <w:pStyle w:val="FirstParagraph"/>
      </w:pPr>
      <w:r>
        <w:t xml:space="preserve">Historically, microbiology relied on isolating organisms in pure culture. However, over 99% of environmental and host-associated microorganisms defy laboratory cultivation. Metagenomics bypasses this bottleneck entirely by extracting and analyzing total community DNA directly from an environment—answering both</w:t>
      </w:r>
      <w:r>
        <w:t xml:space="preserve"> </w:t>
      </w:r>
      <w:r>
        <w:t xml:space="preserve">“who is there?”</w:t>
      </w:r>
      <w:r>
        <w:t xml:space="preserve"> </w:t>
      </w:r>
      <w:r>
        <w:t xml:space="preserve">and</w:t>
      </w:r>
      <w:r>
        <w:t xml:space="preserve"> </w:t>
      </w:r>
      <w:r>
        <w:t xml:space="preserve">“what can they do?”</w:t>
      </w:r>
      <w:r>
        <w:t xml:space="preserve"> </w:t>
      </w:r>
      <w:r>
        <w:t xml:space="preserve">(Handelsman et al., 1998; Turnbaugh et al., 2007).</w:t>
      </w:r>
    </w:p>
    <w:p>
      <w:pPr>
        <w:pStyle w:val="BodyText"/>
      </w:pPr>
      <w:r>
        <w:t xml:space="preserve">Unlike traditional genomics, which reconstructs a single organism’s sequence, metagenomics dissects massive, heterogeneous microbial mixtures. The field largely splits into two main analytical paradigms (Table 1): 16S rRNA targeted amplicon sequencing and whole-metagenome shotgun sequencing.</w:t>
      </w:r>
    </w:p>
    <w:p>
      <w:pPr>
        <w:pStyle w:val="BodyText"/>
      </w:pPr>
      <w:r>
        <w:rPr>
          <w:b/>
          <w:bCs/>
        </w:rPr>
        <w:t xml:space="preserve">Table 1: 16S Amplicon vs. Shotgun Metagenomics</w:t>
      </w:r>
      <w:r>
        <w:t xml:space="preserve"> </w:t>
      </w:r>
      <w:r>
        <w:t xml:space="preserve">| Approach | 16S rRNA Amplicon | Shotgun Metagenomics |</w:t>
      </w:r>
      <w:r>
        <w:t xml:space="preserve"> </w:t>
      </w:r>
      <w:r>
        <w:t xml:space="preserve">|—|—|—|</w:t>
      </w:r>
      <w:r>
        <w:t xml:space="preserve"> </w:t>
      </w:r>
      <w:r>
        <w:t xml:space="preserve">| Target | A specific</w:t>
      </w:r>
      <w:r>
        <w:t xml:space="preserve"> </w:t>
      </w:r>
      <w:r>
        <w:t xml:space="preserve">“barcode”</w:t>
      </w:r>
      <w:r>
        <w:t xml:space="preserve"> </w:t>
      </w:r>
      <w:r>
        <w:t xml:space="preserve">gene | All fragmented genomic DNA |</w:t>
      </w:r>
      <w:r>
        <w:t xml:space="preserve"> </w:t>
      </w:r>
      <w:r>
        <w:t xml:space="preserve">| Question Answered | Who is there? (Taxonomy) | Who is there? + What can they do? |</w:t>
      </w:r>
      <w:r>
        <w:t xml:space="preserve"> </w:t>
      </w:r>
      <w:r>
        <w:t xml:space="preserve">| Resolution | Genus-level / Species-level | Strain-level + Functional Genes |</w:t>
      </w:r>
      <w:r>
        <w:t xml:space="preserve"> </w:t>
      </w:r>
      <w:r>
        <w:t xml:space="preserve">| Pre-processing | PCR Amplification | Random fragmentation (No PCR required) |</w:t>
      </w:r>
      <w:r>
        <w:t xml:space="preserve"> </w:t>
      </w:r>
      <w:r>
        <w:t xml:space="preserve">| Cost and Effort | Cheaper, Computationally moderate | Expensive, Highly intensive |</w:t>
      </w:r>
    </w:p>
    <w:p>
      <w:pPr>
        <w:pStyle w:val="BodyText"/>
      </w:pPr>
      <w:r>
        <w:t xml:space="preserve">This tutorial bridges the gap between raw FASTQ reads and biological inference, providing reproducible workflows across both paradigms.</w:t>
      </w:r>
    </w:p>
    <w:p>
      <w:r>
        <w:pict>
          <v:rect style="width:0;height:1.5pt" o:hralign="center" o:hrstd="t" o:hr="t"/>
        </w:pict>
      </w:r>
    </w:p>
    <w:bookmarkEnd w:id="10"/>
    <w:bookmarkStart w:id="13" w:name="X0c427f188d48f82ed39fe94dfc483bff59d5d88"/>
    <w:p>
      <w:pPr>
        <w:pStyle w:val="Heading2"/>
      </w:pPr>
      <w:r>
        <w:t xml:space="preserve">2. 16S Amplicon Sequencing: Taxonomic Profiling</w:t>
      </w:r>
    </w:p>
    <w:p>
      <w:pPr>
        <w:pStyle w:val="FirstParagraph"/>
      </w:pPr>
      <w:r>
        <w:t xml:space="preserve">The 16S ribosomal RNA gene consists of highly conserved regions interspersed with hypervariable regions (V1-V9). By targeting a variable segment (often V3-V4 or V4), researchers can classify bacteria taxonomically while universally amplifying the sample via conserved primers.</w:t>
      </w:r>
    </w:p>
    <w:bookmarkStart w:id="11" w:name="the-modern-standard-from-otus-to-asvs"/>
    <w:p>
      <w:pPr>
        <w:pStyle w:val="Heading3"/>
      </w:pPr>
      <w:r>
        <w:t xml:space="preserve">2.1 The Modern Standard: From OTUs to ASVs</w:t>
      </w:r>
    </w:p>
    <w:p>
      <w:pPr>
        <w:pStyle w:val="FirstParagraph"/>
      </w:pPr>
      <w:r>
        <w:t xml:space="preserve">Historically, 16S analysis clustered reads at a 97% similarity threshold to form Operational Taxonomic Units (OTUs). Though useful, this arbitrary grouping obscured strain-level biological variations and collapsed distinct sequences into broad buckets.</w:t>
      </w:r>
    </w:p>
    <w:p>
      <w:pPr>
        <w:pStyle w:val="BodyText"/>
      </w:pPr>
      <w:r>
        <w:t xml:space="preserve">Today’s gold standard uses statistical denoising to resolve exact biological sequences, or Amplicon Sequence Variants (ASVs). Denoising algorithms like DADA2 model sequencer-specific error profiles, separating true variation from sequencing noise (Callahan et al., 2016). ASVs offer precision down to a single nucleotide difference and create highly reproducible, cross-study datasets.</w:t>
      </w:r>
    </w:p>
    <w:bookmarkEnd w:id="11"/>
    <w:bookmarkStart w:id="12" w:name="amplicon-workflow-via-qiime2"/>
    <w:p>
      <w:pPr>
        <w:pStyle w:val="Heading3"/>
      </w:pPr>
      <w:r>
        <w:t xml:space="preserve">2.2 Amplicon Workflow via QIIME2</w:t>
      </w:r>
    </w:p>
    <w:p>
      <w:pPr>
        <w:pStyle w:val="FirstParagraph"/>
      </w:pPr>
      <w:r>
        <w:t xml:space="preserve">The central hub for modern amplicon analysis is QIIME2 (Bolyen et al., 2019):</w:t>
      </w:r>
      <w:r>
        <w:t xml:space="preserve"> </w:t>
      </w:r>
      <w:r>
        <w:t xml:space="preserve">1.</w:t>
      </w:r>
      <w:r>
        <w:t xml:space="preserve"> </w:t>
      </w:r>
      <w:r>
        <w:rPr>
          <w:b/>
          <w:bCs/>
        </w:rPr>
        <w:t xml:space="preserve">Denoising (DADA2):</w:t>
      </w:r>
      <w:r>
        <w:t xml:space="preserve"> </w:t>
      </w:r>
      <w:r>
        <w:t xml:space="preserve">Raw sequences are dynamically truncated based on the median quality score dip (Phred &lt; 20), primers are removed, and chimeric sequences are discarded.</w:t>
      </w:r>
      <w:r>
        <w:t xml:space="preserve"> </w:t>
      </w:r>
      <w:r>
        <w:t xml:space="preserve">2.</w:t>
      </w:r>
      <w:r>
        <w:t xml:space="preserve"> </w:t>
      </w:r>
      <w:r>
        <w:rPr>
          <w:b/>
          <w:bCs/>
        </w:rPr>
        <w:t xml:space="preserve">Taxonomic Assignment:</w:t>
      </w:r>
      <w:r>
        <w:t xml:space="preserve"> </w:t>
      </w:r>
      <w:r>
        <w:t xml:space="preserve">ASVs are aligned against robust curated databases, such as SILVA or Greengenes2, using machine-learning classifiers.</w:t>
      </w:r>
      <w:r>
        <w:t xml:space="preserve"> </w:t>
      </w:r>
      <w:r>
        <w:t xml:space="preserve">3.</w:t>
      </w:r>
      <w:r>
        <w:t xml:space="preserve"> </w:t>
      </w:r>
      <w:r>
        <w:rPr>
          <w:b/>
          <w:bCs/>
        </w:rPr>
        <w:t xml:space="preserve">Phylogeny:</w:t>
      </w:r>
      <w:r>
        <w:t xml:space="preserve"> </w:t>
      </w:r>
      <w:r>
        <w:t xml:space="preserve">A</w:t>
      </w:r>
      <w:r>
        <w:t xml:space="preserve"> </w:t>
      </w:r>
      <w:r>
        <w:rPr>
          <w:i/>
          <w:iCs/>
        </w:rPr>
        <w:t xml:space="preserve">de novo</w:t>
      </w:r>
      <w:r>
        <w:t xml:space="preserve"> </w:t>
      </w:r>
      <w:r>
        <w:t xml:space="preserve">phylogenetic tree is constructed across the recovered ASVs (via FastTree) to enable evolutionary-based downstream statistical metrics (e.g., UniFrac).</w:t>
      </w:r>
    </w:p>
    <w:p>
      <w:r>
        <w:pict>
          <v:rect style="width:0;height:1.5pt" o:hralign="center" o:hrstd="t" o:hr="t"/>
        </w:pict>
      </w:r>
    </w:p>
    <w:bookmarkEnd w:id="12"/>
    <w:bookmarkEnd w:id="13"/>
    <w:bookmarkStart w:id="16" w:name="X6f7db849cdaffc6df2264ad4a8aa93556370fbd"/>
    <w:p>
      <w:pPr>
        <w:pStyle w:val="Heading2"/>
      </w:pPr>
      <w:r>
        <w:t xml:space="preserve">3. Shotgun Metagenomics: Recovery of Genomes and Function</w:t>
      </w:r>
    </w:p>
    <w:p>
      <w:pPr>
        <w:pStyle w:val="FirstParagraph"/>
      </w:pPr>
      <w:r>
        <w:t xml:space="preserve">Where 16S amplicon sequencing surveys taxonomy, shotgun sequencing samples every base present—facilitating the discovery of metabolic pathways, antimicrobial resistance (AMR) genes, virulence factors, and entire uncultivated genomes.</w:t>
      </w:r>
    </w:p>
    <w:bookmarkStart w:id="14" w:name="quality-control-and-read-based-profiling"/>
    <w:p>
      <w:pPr>
        <w:pStyle w:val="Heading3"/>
      </w:pPr>
      <w:r>
        <w:t xml:space="preserve">3.1 Quality Control and Read-Based Profiling</w:t>
      </w:r>
    </w:p>
    <w:p>
      <w:pPr>
        <w:pStyle w:val="FirstParagraph"/>
      </w:pPr>
      <w:r>
        <w:t xml:space="preserve">Shotgun reads require stringent preprocessing. Using Trimmomatic and FastQC, adapter sequences are excised and poor-quality ends are truncated. If studying host-associated microbiomes (e.g., human gut), host DNA is strictly depleted via rapid read-mapping algorithms like Bowtie2 before community profiling.</w:t>
      </w:r>
      <w:r>
        <w:t xml:space="preserve"> </w:t>
      </w:r>
      <w:r>
        <w:t xml:space="preserve">For rapid taxonomic overviews, read-based classifiers like Kraken2 (Wood &amp; Salzberg, 2014) bypass assembly completely. By dividing reads into exact</w:t>
      </w:r>
      <w:r>
        <w:t xml:space="preserve"> </w:t>
      </w:r>
      <w:r>
        <w:rPr>
          <w:i/>
          <w:iCs/>
        </w:rPr>
        <w:t xml:space="preserve">k-mers</w:t>
      </w:r>
      <w:r>
        <w:t xml:space="preserve"> </w:t>
      </w:r>
      <w:r>
        <w:t xml:space="preserve">and indexing them against massive reference databases, Kraken2 can rapidly assign reads to the Lowest Common Ancestor (LCA). Bracken is subsequently utilized to perform a Bayesian re-estimation, pushing genus-level ambiguous assignments down to robust species-level abundances.</w:t>
      </w:r>
    </w:p>
    <w:bookmarkEnd w:id="14"/>
    <w:bookmarkStart w:id="15" w:name="X6b87c5078980f959646ee8a4a097e154d6b87b7"/>
    <w:p>
      <w:pPr>
        <w:pStyle w:val="Heading3"/>
      </w:pPr>
      <w:r>
        <w:t xml:space="preserve">3.2 Assembly and Metagenome-Assembled Genomes (MAGs)</w:t>
      </w:r>
    </w:p>
    <w:p>
      <w:pPr>
        <w:pStyle w:val="FirstParagraph"/>
      </w:pPr>
      <w:r>
        <w:t xml:space="preserve">Shotgun analyses truly shine during the</w:t>
      </w:r>
      <w:r>
        <w:t xml:space="preserve"> </w:t>
      </w:r>
      <w:r>
        <w:rPr>
          <w:i/>
          <w:iCs/>
        </w:rPr>
        <w:t xml:space="preserve">de novo</w:t>
      </w:r>
      <w:r>
        <w:t xml:space="preserve"> </w:t>
      </w:r>
      <w:r>
        <w:t xml:space="preserve">assembly of genomes.</w:t>
      </w:r>
      <w:r>
        <w:t xml:space="preserve"> </w:t>
      </w:r>
      <w:r>
        <w:t xml:space="preserve">1.</w:t>
      </w:r>
      <w:r>
        <w:t xml:space="preserve"> </w:t>
      </w:r>
      <w:r>
        <w:rPr>
          <w:b/>
          <w:bCs/>
        </w:rPr>
        <w:t xml:space="preserve">Assembly (MEGAHIT):</w:t>
      </w:r>
      <w:r>
        <w:t xml:space="preserve"> </w:t>
      </w:r>
      <w:r>
        <w:t xml:space="preserve">Short reads are computationally stitched across overlapping</w:t>
      </w:r>
      <w:r>
        <w:t xml:space="preserve"> </w:t>
      </w:r>
      <w:r>
        <w:rPr>
          <w:i/>
          <w:iCs/>
        </w:rPr>
        <w:t xml:space="preserve">k-mers</w:t>
      </w:r>
      <w:r>
        <w:t xml:space="preserve"> </w:t>
      </w:r>
      <w:r>
        <w:t xml:space="preserve">utilizing memory-efficient de Bruijn graphs to generate long contiguous sequences (contigs).</w:t>
      </w:r>
      <w:r>
        <w:t xml:space="preserve"> </w:t>
      </w:r>
      <w:r>
        <w:t xml:space="preserve">2.</w:t>
      </w:r>
      <w:r>
        <w:t xml:space="preserve"> </w:t>
      </w:r>
      <w:r>
        <w:rPr>
          <w:b/>
          <w:bCs/>
        </w:rPr>
        <w:t xml:space="preserve">Binning (MetaBAT2 / MaxBin2):</w:t>
      </w:r>
      <w:r>
        <w:t xml:space="preserve"> </w:t>
      </w:r>
      <w:r>
        <w:t xml:space="preserve">Contigs originating from the same organism are computationally clustered into</w:t>
      </w:r>
      <w:r>
        <w:t xml:space="preserve"> </w:t>
      </w:r>
      <w:r>
        <w:t xml:space="preserve">“bins”</w:t>
      </w:r>
      <w:r>
        <w:t xml:space="preserve">. This process leverages sequence composition patterns (tetranucleotide frequencies) and differential sequence coverage co-variance across multiple samples.</w:t>
      </w:r>
      <w:r>
        <w:t xml:space="preserve"> </w:t>
      </w:r>
      <w:r>
        <w:t xml:space="preserve">3.</w:t>
      </w:r>
      <w:r>
        <w:t xml:space="preserve"> </w:t>
      </w:r>
      <w:r>
        <w:rPr>
          <w:b/>
          <w:bCs/>
        </w:rPr>
        <w:t xml:space="preserve">Refinement:</w:t>
      </w:r>
      <w:r>
        <w:t xml:space="preserve"> </w:t>
      </w:r>
      <w:r>
        <w:t xml:space="preserve">DAS Tool synthesizes outputs from multiple disparate algorithms to generate an optimized, non-redundant set of high-quality bins. By assessing single-copy marker genes through CheckM/CheckM2, these bins are classified into Metagenome-Assembled Genomes (MAGs) based on specific completion (&gt;90%) and strict contamination (&lt;5%) parameters.</w:t>
      </w:r>
      <w:r>
        <w:t xml:space="preserve"> </w:t>
      </w:r>
      <w:r>
        <w:t xml:space="preserve">4.</w:t>
      </w:r>
      <w:r>
        <w:t xml:space="preserve"> </w:t>
      </w:r>
      <w:r>
        <w:rPr>
          <w:b/>
          <w:bCs/>
        </w:rPr>
        <w:t xml:space="preserve">Functional Annotation:</w:t>
      </w:r>
      <w:r>
        <w:t xml:space="preserve"> </w:t>
      </w:r>
      <w:r>
        <w:t xml:space="preserve">Once assembled, robust tools like Prokka or eggNOG-mapper assign genomic coordinates to functional capabilities, decoding the mechanical capacity of the entire ecosystem.</w:t>
      </w:r>
    </w:p>
    <w:p>
      <w:r>
        <w:pict>
          <v:rect style="width:0;height:1.5pt" o:hralign="center" o:hrstd="t" o:hr="t"/>
        </w:pict>
      </w:r>
    </w:p>
    <w:bookmarkEnd w:id="15"/>
    <w:bookmarkEnd w:id="16"/>
    <w:bookmarkStart w:id="19" w:name="X2b26ff3fff5b0387850002a23d9ac7a18472699"/>
    <w:p>
      <w:pPr>
        <w:pStyle w:val="Heading2"/>
      </w:pPr>
      <w:r>
        <w:t xml:space="preserve">4. Advanced Statistics for Microbiome Integration</w:t>
      </w:r>
    </w:p>
    <w:bookmarkStart w:id="17" w:name="compositionality-and-normalization"/>
    <w:p>
      <w:pPr>
        <w:pStyle w:val="Heading3"/>
      </w:pPr>
      <w:r>
        <w:t xml:space="preserve">4.1 Compositionality and Normalization</w:t>
      </w:r>
    </w:p>
    <w:p>
      <w:pPr>
        <w:pStyle w:val="FirstParagraph"/>
      </w:pPr>
      <w:r>
        <w:t xml:space="preserve">Standard transcriptomic software frequently fails on microbiome datasets. Metagenomic count tables are constrained by</w:t>
      </w:r>
      <w:r>
        <w:t xml:space="preserve"> </w:t>
      </w:r>
      <w:r>
        <w:rPr>
          <w:i/>
          <w:iCs/>
        </w:rPr>
        <w:t xml:space="preserve">compositionality</w:t>
      </w:r>
      <w:r>
        <w:t xml:space="preserve">—since instrument read depths vary, observed counts represent relative, not absolute, abundances. Therefore, if the absolute abundance of one dominant taxon increases, the relative proportion of all other taxa mathematically decreases even if their absolute mass remains unchanged. Furthermore, microbiome data is notoriously zero-inflated (containing 50-90% zeros representing either true biological absences or inadequate detection limits).</w:t>
      </w:r>
    </w:p>
    <w:p>
      <w:pPr>
        <w:pStyle w:val="BodyText"/>
      </w:pPr>
      <w:r>
        <w:t xml:space="preserve">Instead of simple relative abundances (Total Sum Scaling) which ignore compositionality, robust transformations are required:</w:t>
      </w:r>
      <w:r>
        <w:t xml:space="preserve"> </w:t>
      </w:r>
      <w:r>
        <w:t xml:space="preserve">*</w:t>
      </w:r>
      <w:r>
        <w:t xml:space="preserve"> </w:t>
      </w:r>
      <w:r>
        <w:rPr>
          <w:b/>
          <w:bCs/>
        </w:rPr>
        <w:t xml:space="preserve">Centered Log-Ratio (CLR):</w:t>
      </w:r>
      <w:r>
        <w:t xml:space="preserve"> </w:t>
      </w:r>
      <w:r>
        <w:t xml:space="preserve">Data is log-ratio transformed dynamically relative to the geometric mean of the total sample. CLR effectively projects relative data into an unconstrained, Euclidean space appropriate for traditional parametric frameworks.</w:t>
      </w:r>
      <w:r>
        <w:t xml:space="preserve"> </w:t>
      </w:r>
      <w:r>
        <w:t xml:space="preserve">*</w:t>
      </w:r>
      <w:r>
        <w:t xml:space="preserve"> </w:t>
      </w:r>
      <w:r>
        <w:rPr>
          <w:b/>
          <w:bCs/>
        </w:rPr>
        <w:t xml:space="preserve">Rarefaction:</w:t>
      </w:r>
      <w:r>
        <w:t xml:space="preserve"> </w:t>
      </w:r>
      <w:r>
        <w:t xml:space="preserve">Commonly applied prior to Alpha and Beta diversity, randomly subsampling datasets to the lowest common library read-depth—sacrificing some data for mathematically even cross-comparisons.</w:t>
      </w:r>
    </w:p>
    <w:bookmarkEnd w:id="17"/>
    <w:bookmarkStart w:id="18" w:name="diversity-and-differential-abundance"/>
    <w:p>
      <w:pPr>
        <w:pStyle w:val="Heading3"/>
      </w:pPr>
      <w:r>
        <w:t xml:space="preserve">4.2 Diversity and Differential Abundance</w:t>
      </w:r>
    </w:p>
    <w:p>
      <w:pPr>
        <w:pStyle w:val="Compact"/>
        <w:numPr>
          <w:ilvl w:val="0"/>
          <w:numId w:val="1001"/>
        </w:numPr>
      </w:pPr>
      <w:r>
        <w:rPr>
          <w:b/>
          <w:bCs/>
        </w:rPr>
        <w:t xml:space="preserve">Alpha Diversity (Within-Sample):</w:t>
      </w:r>
      <w:r>
        <w:t xml:space="preserve"> </w:t>
      </w:r>
      <w:r>
        <w:t xml:space="preserve">Metrics like Faith’s Phylogenetic Diversity (incorporating evolutionary relationships) or the Shannon Index (combining species richness with group evenness) quantify total sample structure.</w:t>
      </w:r>
    </w:p>
    <w:p>
      <w:pPr>
        <w:pStyle w:val="Compact"/>
        <w:numPr>
          <w:ilvl w:val="0"/>
          <w:numId w:val="1001"/>
        </w:numPr>
      </w:pPr>
      <w:r>
        <w:rPr>
          <w:b/>
          <w:bCs/>
        </w:rPr>
        <w:t xml:space="preserve">Beta Diversity (Between-Sample):</w:t>
      </w:r>
      <w:r>
        <w:t xml:space="preserve"> </w:t>
      </w:r>
      <w:r>
        <w:t xml:space="preserve">Bray-Curtis Dissimilarity measures abundance-weighted composition changes, while Weighted UniFrac accounts for phylogenetic structure. Overall community divergence is routinely tested via PERMANOVA (</w:t>
      </w:r>
      <w:r>
        <w:rPr>
          <w:rStyle w:val="VerbatimChar"/>
        </w:rPr>
        <w:t xml:space="preserve">adonis2</w:t>
      </w:r>
      <w:r>
        <w:t xml:space="preserve"> </w:t>
      </w:r>
      <w:r>
        <w:t xml:space="preserve">in R).</w:t>
      </w:r>
    </w:p>
    <w:p>
      <w:pPr>
        <w:pStyle w:val="Compact"/>
        <w:numPr>
          <w:ilvl w:val="0"/>
          <w:numId w:val="1001"/>
        </w:numPr>
      </w:pPr>
      <w:r>
        <w:rPr>
          <w:b/>
          <w:bCs/>
        </w:rPr>
        <w:t xml:space="preserve">Differential Abundance:</w:t>
      </w:r>
      <w:r>
        <w:t xml:space="preserve"> </w:t>
      </w:r>
      <w:r>
        <w:t xml:space="preserve">Identifying exactly</w:t>
      </w:r>
      <w:r>
        <w:t xml:space="preserve"> </w:t>
      </w:r>
      <w:r>
        <w:rPr>
          <w:i/>
          <w:iCs/>
        </w:rPr>
        <w:t xml:space="preserve">which</w:t>
      </w:r>
      <w:r>
        <w:t xml:space="preserve"> </w:t>
      </w:r>
      <w:r>
        <w:t xml:space="preserve">features drive changes requires models that elegantly handle high dimensional counts and zero inflation. Rather than traditional t-tests resulting in astronomical false-discovery rates, researchers utilize DESeq2 (Negative Binomial distribution) or specifically composition-aware software like ALDEx2 or ANCOM-BC.</w:t>
      </w:r>
    </w:p>
    <w:p>
      <w:r>
        <w:pict>
          <v:rect style="width:0;height:1.5pt" o:hralign="center" o:hrstd="t" o:hr="t"/>
        </w:pict>
      </w:r>
    </w:p>
    <w:bookmarkEnd w:id="18"/>
    <w:bookmarkEnd w:id="19"/>
    <w:bookmarkStart w:id="20" w:name="X5e2d0e60febf4564e18d29b148773d94c025042"/>
    <w:p>
      <w:pPr>
        <w:pStyle w:val="Heading2"/>
      </w:pPr>
      <w:r>
        <w:t xml:space="preserve">5. Educational Insights and Computations Best Practices</w:t>
      </w:r>
    </w:p>
    <w:p>
      <w:pPr>
        <w:pStyle w:val="FirstParagraph"/>
      </w:pPr>
      <w:r>
        <w:t xml:space="preserve">A defining principle identified across workshops concerns reproducible environments. Conda/Miniconda efficiently manages cascading dependencies for all aforementioned software seamlessly. Participants utilize basic Linux commands paired directly inside Windows (WSL2) or robust HPC clusters to handle memory-intensive assembly steps. A robust, open-source pipeline guarantees future sustainability.</w:t>
      </w:r>
    </w:p>
    <w:p>
      <w:r>
        <w:pict>
          <v:rect style="width:0;height:1.5pt" o:hralign="center" o:hrstd="t" o:hr="t"/>
        </w:pict>
      </w:r>
    </w:p>
    <w:bookmarkEnd w:id="20"/>
    <w:bookmarkStart w:id="21" w:name="conclusion"/>
    <w:p>
      <w:pPr>
        <w:pStyle w:val="Heading2"/>
      </w:pPr>
      <w:r>
        <w:t xml:space="preserve">6. Conclusion</w:t>
      </w:r>
    </w:p>
    <w:p>
      <w:pPr>
        <w:pStyle w:val="FirstParagraph"/>
      </w:pPr>
      <w:r>
        <w:t xml:space="preserve">The path from environmental DNA to ecological interpretation involves significant computational mastery. While 16S amplicon sequencing efficiently taxonomizes massive sample sizes, shotgun metagenomics affords unparalleled insights into pathway engineering, AMR tracking, and</w:t>
      </w:r>
      <w:r>
        <w:t xml:space="preserve"> </w:t>
      </w:r>
      <w:r>
        <w:rPr>
          <w:i/>
          <w:iCs/>
        </w:rPr>
        <w:t xml:space="preserve">de novo</w:t>
      </w:r>
      <w:r>
        <w:t xml:space="preserve"> </w:t>
      </w:r>
      <w:r>
        <w:t xml:space="preserve">genome isolation. This reproducible educational pipeline—framing Quality Control, ASV/MAG isolation, and statistically sound data transformations—empowers domain scientists to navigate microbiome bioinformatics systematically.</w:t>
      </w:r>
    </w:p>
    <w:bookmarkEnd w:id="21"/>
    <w:bookmarkStart w:id="22" w:name="data-availability"/>
    <w:p>
      <w:pPr>
        <w:pStyle w:val="Heading2"/>
      </w:pPr>
      <w:r>
        <w:t xml:space="preserve">7. Data Availability</w:t>
      </w:r>
    </w:p>
    <w:p>
      <w:pPr>
        <w:pStyle w:val="FirstParagraph"/>
      </w:pPr>
      <w:r>
        <w:t xml:space="preserve">Any demonstration sequencing libraries required to replicate the aforementioned frameworks can usually be pulled directly from the NCBI Sequence Read Archive (SRA) or curated datasets supplied directly through software repositories like</w:t>
      </w:r>
      <w:r>
        <w:t xml:space="preserve"> </w:t>
      </w:r>
      <w:r>
        <w:rPr>
          <w:rStyle w:val="VerbatimChar"/>
        </w:rPr>
        <w:t xml:space="preserve">phyloseq</w:t>
      </w:r>
      <w:r>
        <w:t xml:space="preserve">.</w:t>
      </w:r>
    </w:p>
    <w:bookmarkEnd w:id="22"/>
    <w:bookmarkStart w:id="23" w:name="references"/>
    <w:p>
      <w:pPr>
        <w:pStyle w:val="Heading2"/>
      </w:pPr>
      <w:r>
        <w:t xml:space="preserve">References</w:t>
      </w:r>
    </w:p>
    <w:p>
      <w:pPr>
        <w:pStyle w:val="Compact"/>
        <w:numPr>
          <w:ilvl w:val="0"/>
          <w:numId w:val="1002"/>
        </w:numPr>
      </w:pPr>
      <w:r>
        <w:t xml:space="preserve">Handelsman, J., et al. (1998). Molecular biological access to the chemistry of unknown soil microbes: a new frontier for natural products.</w:t>
      </w:r>
      <w:r>
        <w:t xml:space="preserve"> </w:t>
      </w:r>
      <w:r>
        <w:rPr>
          <w:i/>
          <w:iCs/>
        </w:rPr>
        <w:t xml:space="preserve">Chemistry &amp; biology</w:t>
      </w:r>
      <w:r>
        <w:t xml:space="preserve">, 5(10), R245-R249.</w:t>
      </w:r>
    </w:p>
    <w:p>
      <w:pPr>
        <w:pStyle w:val="Compact"/>
        <w:numPr>
          <w:ilvl w:val="0"/>
          <w:numId w:val="1002"/>
        </w:numPr>
      </w:pPr>
      <w:r>
        <w:t xml:space="preserve">Turnbaugh, P. J., et al. (2007). The human microbiome project.</w:t>
      </w:r>
      <w:r>
        <w:t xml:space="preserve"> </w:t>
      </w:r>
      <w:r>
        <w:rPr>
          <w:i/>
          <w:iCs/>
        </w:rPr>
        <w:t xml:space="preserve">Nature</w:t>
      </w:r>
      <w:r>
        <w:t xml:space="preserve">, 449(7164), 804-810.</w:t>
      </w:r>
    </w:p>
    <w:p>
      <w:pPr>
        <w:pStyle w:val="Compact"/>
        <w:numPr>
          <w:ilvl w:val="0"/>
          <w:numId w:val="1002"/>
        </w:numPr>
      </w:pPr>
      <w:r>
        <w:t xml:space="preserve">Callahan, B. J., et al. (2016). DADA2: High-resolution sample inference from Illumina amplicon data.</w:t>
      </w:r>
      <w:r>
        <w:t xml:space="preserve"> </w:t>
      </w:r>
      <w:r>
        <w:rPr>
          <w:i/>
          <w:iCs/>
        </w:rPr>
        <w:t xml:space="preserve">Nature methods</w:t>
      </w:r>
      <w:r>
        <w:t xml:space="preserve">, 13(7), 581-583.</w:t>
      </w:r>
    </w:p>
    <w:p>
      <w:pPr>
        <w:pStyle w:val="Compact"/>
        <w:numPr>
          <w:ilvl w:val="0"/>
          <w:numId w:val="1002"/>
        </w:numPr>
      </w:pPr>
      <w:r>
        <w:t xml:space="preserve">Bolyen, E., et al. (2019). Reproducible, interactive, scalable and extensible microbiome data science using QIIME 2.</w:t>
      </w:r>
      <w:r>
        <w:t xml:space="preserve"> </w:t>
      </w:r>
      <w:r>
        <w:rPr>
          <w:i/>
          <w:iCs/>
        </w:rPr>
        <w:t xml:space="preserve">Nature biotechnology</w:t>
      </w:r>
      <w:r>
        <w:t xml:space="preserve">, 37(8), 852-857.</w:t>
      </w:r>
    </w:p>
    <w:p>
      <w:pPr>
        <w:pStyle w:val="Compact"/>
        <w:numPr>
          <w:ilvl w:val="0"/>
          <w:numId w:val="1002"/>
        </w:numPr>
      </w:pPr>
      <w:r>
        <w:t xml:space="preserve">Wood, D. E., &amp; Salzberg, S. L. (2014). Kraken: ultrafast metagenomic sequence classification using exact alignments.</w:t>
      </w:r>
      <w:r>
        <w:t xml:space="preserve"> </w:t>
      </w:r>
      <w:r>
        <w:rPr>
          <w:i/>
          <w:iCs/>
        </w:rPr>
        <w:t xml:space="preserve">Genome biology</w:t>
      </w:r>
      <w:r>
        <w:t xml:space="preserve">, 15(3), 1-12.</w:t>
      </w:r>
    </w:p>
    <w:p>
      <w:pPr>
        <w:pStyle w:val="Compact"/>
        <w:numPr>
          <w:ilvl w:val="0"/>
          <w:numId w:val="1002"/>
        </w:numPr>
      </w:pPr>
      <w:r>
        <w:t xml:space="preserve">Parks, D. H., et al. (2015). CheckM: assessing the quality of microbial genomes recovered from isolates, single cells, and metagenomes.</w:t>
      </w:r>
      <w:r>
        <w:t xml:space="preserve"> </w:t>
      </w:r>
      <w:r>
        <w:rPr>
          <w:i/>
          <w:iCs/>
        </w:rPr>
        <w:t xml:space="preserve">Genome research</w:t>
      </w:r>
      <w:r>
        <w:t xml:space="preserve">, 25(7), 1043-1055.</w:t>
      </w:r>
    </w:p>
    <w:p>
      <w:pPr>
        <w:pStyle w:val="Compact"/>
        <w:numPr>
          <w:ilvl w:val="0"/>
          <w:numId w:val="1002"/>
        </w:numPr>
      </w:pPr>
      <w:r>
        <w:t xml:space="preserve">Love, M. I., et al. (2014). Moderated estimation of fold change and dispersion for RNA-seq data with DESeq2.</w:t>
      </w:r>
      <w:r>
        <w:t xml:space="preserve"> </w:t>
      </w:r>
      <w:r>
        <w:rPr>
          <w:i/>
          <w:iCs/>
        </w:rPr>
        <w:t xml:space="preserve">Genome biology</w:t>
      </w:r>
      <w:r>
        <w:t xml:space="preserve">, 15(12), 1-21.</w:t>
      </w:r>
    </w:p>
    <w:p>
      <w:pPr>
        <w:pStyle w:val="Compact"/>
        <w:numPr>
          <w:ilvl w:val="0"/>
          <w:numId w:val="1002"/>
        </w:numPr>
      </w:pPr>
      <w:r>
        <w:t xml:space="preserve">Fernandes, A. D., et al. (2014). ANOVA-like differential expression (ALDEx) analysis for mixed population RNA-Seq.</w:t>
      </w:r>
      <w:r>
        <w:t xml:space="preserve"> </w:t>
      </w:r>
      <w:r>
        <w:rPr>
          <w:i/>
          <w:iCs/>
        </w:rPr>
        <w:t xml:space="preserve">PLoS one</w:t>
      </w:r>
      <w:r>
        <w:t xml:space="preserve">, 9(1), e67019.</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2026-03-31T17:29:04Z</dcterms:created>
  <dcterms:modified xsi:type="dcterms:W3CDTF">2026-03-31T17:29:04Z</dcterms:modified>
</cp:coreProperties>
</file>

<file path=docProps/custom.xml><?xml version="1.0" encoding="utf-8"?>
<Properties xmlns="http://schemas.openxmlformats.org/officeDocument/2006/custom-properties" xmlns:vt="http://schemas.openxmlformats.org/officeDocument/2006/docPropsVTypes"/>
</file>