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Human Genomics and Transcriptomics in Practice: A Computational Roadmap from Sequence Data to Clinical Interpretation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Tutorial Review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Professor, Community Medicine, Shridevi Institute of Medical Sciences and Research Hospital, Tumkur,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br/>
      </w: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Human genomics; transcriptomics; variant analysis; RNA sequencing; clinical bioinformatics; differential expression; rare disease; cancer genomics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Human Genomics and Transcriptomics</w:t>
      </w:r>
    </w:p>
    <w:p>
      <w:pPr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Approximately 3,029 words excluding title page and references</w:t>
      </w:r>
    </w:p>
    <w:p>
      <w:pPr>
        <w:pStyle w:val="BodyText"/>
      </w:pPr>
      <w:r>
        <w:rPr>
          <w:b/>
          <w:bCs/>
        </w:rPr>
        <w:t xml:space="preserve">Figures: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Tables:</w:t>
      </w:r>
      <w:r>
        <w:t xml:space="preserve"> </w:t>
      </w:r>
      <w:r>
        <w:t xml:space="preserve">2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2026-04-01T08:06:03Z</dcterms:created>
  <dcterms:modified xsi:type="dcterms:W3CDTF">2026-04-01T08:06:03Z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