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Human Computational Metagenomics: A Practical Roadmap for Host-Associated Microbiome Analysis from Raw Reads to Clinical Interpretation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</w:t>
      </w:r>
      <w:r>
        <w:br/>
      </w:r>
      <w:r>
        <w:t xml:space="preserve">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Human microbiome; computational metagenomics; host-associated metagenomics; host read removal; shotgun metagenomics; contamination control; clinical bioinformatics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Human Computational Metagenomics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4,000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No external funding was declared for preparation of this manuscript.</w:t>
      </w:r>
    </w:p>
    <w:p>
      <w:pPr>
        <w:pStyle w:val="BodyText"/>
      </w:pPr>
      <w:r>
        <w:rPr>
          <w:b/>
          <w:bCs/>
        </w:rPr>
        <w:t xml:space="preserve">Competing Interests: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No new dataset was generated or analyzed for this tutorial review.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2026-03-31T18:17:36Z</dcterms:created>
  <dcterms:modified xsi:type="dcterms:W3CDTF">2026-03-31T18:17:36Z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