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“Spatiotemporal Omics for Biology and Medicine: A Computational Framework for Dynamic Tissue-Resolved Analysis,”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