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92bd7643d2662b5850f03bf58f425a79f2a35b3"/>
    <w:p>
      <w:pPr>
        <w:pStyle w:val="Heading1"/>
      </w:pPr>
      <w:r>
        <w:t xml:space="preserve">Workshop Context Summary &amp; Developer Hand-off</w:t>
      </w:r>
    </w:p>
    <w:bookmarkStart w:id="9" w:name="X0744fe978cbd2756602756c4ec3ee275de6e134"/>
    <w:p>
      <w:pPr>
        <w:pStyle w:val="Heading2"/>
      </w:pPr>
      <w:r>
        <w:t xml:space="preserve">Project Overview: Computational Metagenomics Workshop</w:t>
      </w:r>
    </w:p>
    <w:p>
      <w:pPr>
        <w:pStyle w:val="FirstParagraph"/>
      </w:pPr>
      <w:r>
        <w:rPr>
          <w:b/>
          <w:bCs/>
        </w:rPr>
        <w:t xml:space="preserve">Theme:</w:t>
      </w:r>
      <w:r>
        <w:t xml:space="preserve"> </w:t>
      </w:r>
      <w:r>
        <w:t xml:space="preserve">Methods and Applications (16S Amplicon + Shotgun Pipeline)</w:t>
      </w:r>
      <w:r>
        <w:t xml:space="preserve"> </w:t>
      </w:r>
      <w:r>
        <w:rPr>
          <w:b/>
          <w:bCs/>
        </w:rPr>
        <w:t xml:space="preserve">Date:</w:t>
      </w:r>
      <w:r>
        <w:t xml:space="preserve"> </w:t>
      </w:r>
      <w:r>
        <w:t xml:space="preserve">April 7th - 9th, 2026</w:t>
      </w:r>
      <w:r>
        <w:t xml:space="preserve"> </w:t>
      </w:r>
      <w:r>
        <w:rPr>
          <w:b/>
          <w:bCs/>
        </w:rPr>
        <w:t xml:space="preserve">Host:</w:t>
      </w:r>
      <w:r>
        <w:t xml:space="preserve"> </w:t>
      </w:r>
      <w:r>
        <w:t xml:space="preserve">NPTEL+ | IIT Madras</w:t>
      </w:r>
      <w:r>
        <w:t xml:space="preserve"> </w:t>
      </w:r>
      <w:r>
        <w:rPr>
          <w:b/>
          <w:bCs/>
        </w:rPr>
        <w:t xml:space="preserve">Instructors:</w:t>
      </w:r>
      <w:r>
        <w:t xml:space="preserve"> </w:t>
      </w:r>
      <w:r>
        <w:t xml:space="preserve">Prof. Karthik Raman, Dr. Aarti Ravindran, Dr. Pratyay Sengupta</w:t>
      </w:r>
    </w:p>
    <w:bookmarkEnd w:id="9"/>
    <w:bookmarkStart w:id="11" w:name="project-status-completed"/>
    <w:p>
      <w:pPr>
        <w:pStyle w:val="Heading2"/>
      </w:pPr>
      <w:r>
        <w:t xml:space="preserve">Project Status: COMPLETED</w:t>
      </w:r>
    </w:p>
    <w:p>
      <w:pPr>
        <w:pStyle w:val="FirstParagraph"/>
      </w:pPr>
      <w:r>
        <w:t xml:space="preserve">All core deliverables have been created and polished with</w:t>
      </w:r>
      <w:r>
        <w:t xml:space="preserve"> </w:t>
      </w:r>
      <w:r>
        <w:rPr>
          <w:b/>
          <w:bCs/>
        </w:rPr>
        <w:t xml:space="preserve">Rich Aesthetics</w:t>
      </w:r>
      <w:r>
        <w:t xml:space="preserve"> </w:t>
      </w:r>
      <w:r>
        <w:t xml:space="preserve">(Mermaid diagrams, GitHub alerts, tables).</w:t>
      </w:r>
    </w:p>
    <w:bookmarkStart w:id="10" w:name="deliverables-inventory"/>
    <w:p>
      <w:pPr>
        <w:pStyle w:val="Heading3"/>
      </w:pPr>
      <w:r>
        <w:t xml:space="preserve">Deliverables Inventory</w:t>
      </w:r>
    </w:p>
    <w:tbl>
      <w:tblPr>
        <w:tblStyle w:val="Table"/>
        <w:tblW w:type="pct" w:w="5000"/>
        <w:tblLayout w:type="fixed"/>
        <w:tblLook w:firstRow="1" w:lastRow="0" w:firstColumn="0" w:lastColumn="0" w:noHBand="0" w:noVBand="0" w:val="0020"/>
      </w:tblPr>
      <w:tblGrid>
        <w:gridCol w:w="2554"/>
        <w:gridCol w:w="2299"/>
        <w:gridCol w:w="3065"/>
      </w:tblGrid>
      <w:tr>
        <w:trPr>
          <w:tblHeader w:val="on"/>
        </w:trPr>
        <w:tc>
          <w:tcPr/>
          <w:p>
            <w:pPr>
              <w:pStyle w:val="Compact"/>
            </w:pPr>
            <w:r>
              <w:t xml:space="preserve">Filename</w:t>
            </w:r>
          </w:p>
        </w:tc>
        <w:tc>
          <w:tcPr/>
          <w:p>
            <w:pPr>
              <w:pStyle w:val="Compact"/>
            </w:pPr>
            <w:r>
              <w:t xml:space="preserve">Purpose</w:t>
            </w:r>
          </w:p>
        </w:tc>
        <w:tc>
          <w:tcPr/>
          <w:p>
            <w:pPr>
              <w:pStyle w:val="Compact"/>
            </w:pPr>
            <w:r>
              <w:t xml:space="preserve">Highlights</w:t>
            </w:r>
          </w:p>
        </w:tc>
      </w:tr>
      <w:tr>
        <w:tc>
          <w:tcPr/>
          <w:p>
            <w:pPr>
              <w:pStyle w:val="Compact"/>
            </w:pPr>
            <w:r>
              <w:rPr>
                <w:rStyle w:val="VerbatimChar"/>
              </w:rPr>
              <w:t xml:space="preserve">00_Workshop_Overview_and_Setup.md</w:t>
            </w:r>
          </w:p>
        </w:tc>
        <w:tc>
          <w:tcPr/>
          <w:p>
            <w:pPr>
              <w:pStyle w:val="Compact"/>
            </w:pPr>
            <w:r>
              <w:t xml:space="preserve">Master Guide</w:t>
            </w:r>
          </w:p>
        </w:tc>
        <w:tc>
          <w:tcPr/>
          <w:p>
            <w:pPr>
              <w:pStyle w:val="Compact"/>
            </w:pPr>
            <w:r>
              <w:t xml:space="preserve">Mermaid workflow, WSL2/Conda setup, detailed schedule</w:t>
            </w:r>
          </w:p>
        </w:tc>
      </w:tr>
      <w:tr>
        <w:tc>
          <w:tcPr/>
          <w:p>
            <w:pPr>
              <w:pStyle w:val="Compact"/>
            </w:pPr>
            <w:r>
              <w:rPr>
                <w:rStyle w:val="VerbatimChar"/>
              </w:rPr>
              <w:t xml:space="preserve">Day1_Foundations_and_16S_Amplicon.md</w:t>
            </w:r>
          </w:p>
        </w:tc>
        <w:tc>
          <w:tcPr/>
          <w:p>
            <w:pPr>
              <w:pStyle w:val="Compact"/>
            </w:pPr>
            <w:r>
              <w:t xml:space="preserve">Day 1 Materials</w:t>
            </w:r>
          </w:p>
        </w:tc>
        <w:tc>
          <w:tcPr/>
          <w:p>
            <w:pPr>
              <w:pStyle w:val="Compact"/>
            </w:pPr>
            <w:r>
              <w:t xml:space="preserve">16S theory, QIIME2 workflow, OTU vs ASV, ASV-based Pipeline</w:t>
            </w:r>
          </w:p>
        </w:tc>
      </w:tr>
      <w:tr>
        <w:tc>
          <w:tcPr/>
          <w:p>
            <w:pPr>
              <w:pStyle w:val="Compact"/>
            </w:pPr>
            <w:r>
              <w:rPr>
                <w:rStyle w:val="VerbatimChar"/>
              </w:rPr>
              <w:t xml:space="preserve">Day2_Shotgun_Metagenomics.md</w:t>
            </w:r>
          </w:p>
        </w:tc>
        <w:tc>
          <w:tcPr/>
          <w:p>
            <w:pPr>
              <w:pStyle w:val="Compact"/>
            </w:pPr>
            <w:r>
              <w:t xml:space="preserve">Day 2 Materials</w:t>
            </w:r>
          </w:p>
        </w:tc>
        <w:tc>
          <w:tcPr/>
          <w:p>
            <w:pPr>
              <w:pStyle w:val="Compact"/>
            </w:pPr>
            <w:r>
              <w:t xml:space="preserve">Shotgun seq, Assembly (MEGAHIT), Binning (MetaBAT2/MaxBin2), MAG Quality</w:t>
            </w:r>
          </w:p>
        </w:tc>
      </w:tr>
      <w:tr>
        <w:tc>
          <w:tcPr/>
          <w:p>
            <w:pPr>
              <w:pStyle w:val="Compact"/>
            </w:pPr>
            <w:r>
              <w:rPr>
                <w:rStyle w:val="VerbatimChar"/>
              </w:rPr>
              <w:t xml:space="preserve">Day3_Statistical_Analysis.md</w:t>
            </w:r>
          </w:p>
        </w:tc>
        <w:tc>
          <w:tcPr/>
          <w:p>
            <w:pPr>
              <w:pStyle w:val="Compact"/>
            </w:pPr>
            <w:r>
              <w:t xml:space="preserve">Day 3 Materials</w:t>
            </w:r>
          </w:p>
        </w:tc>
        <w:tc>
          <w:tcPr/>
          <w:p>
            <w:pPr>
              <w:pStyle w:val="Compact"/>
            </w:pPr>
            <w:r>
              <w:t xml:space="preserve">Compositionality, Normalization (CLR/Rarefaction), Alpha/Beta Diversity, DESeq2</w:t>
            </w:r>
          </w:p>
        </w:tc>
      </w:tr>
      <w:tr>
        <w:tc>
          <w:tcPr/>
          <w:p>
            <w:pPr>
              <w:pStyle w:val="Compact"/>
            </w:pPr>
            <w:r>
              <w:rPr>
                <w:rStyle w:val="VerbatimChar"/>
              </w:rPr>
              <w:t xml:space="preserve">Commands_CheatSheet.md</w:t>
            </w:r>
          </w:p>
        </w:tc>
        <w:tc>
          <w:tcPr/>
          <w:p>
            <w:pPr>
              <w:pStyle w:val="Compact"/>
            </w:pPr>
            <w:r>
              <w:t xml:space="preserve">Quick Reference</w:t>
            </w:r>
          </w:p>
        </w:tc>
        <w:tc>
          <w:tcPr/>
          <w:p>
            <w:pPr>
              <w:pStyle w:val="Compact"/>
            </w:pPr>
            <w:r>
              <w:t xml:space="preserve">One-liner commands for all tools (QIIME2, Kraken2, R, Linux)</w:t>
            </w:r>
          </w:p>
        </w:tc>
      </w:tr>
      <w:tr>
        <w:tc>
          <w:tcPr/>
          <w:p>
            <w:pPr>
              <w:pStyle w:val="Compact"/>
            </w:pPr>
            <w:r>
              <w:rPr>
                <w:rStyle w:val="VerbatimChar"/>
              </w:rPr>
              <w:t xml:space="preserve">Glossary_and_References.md</w:t>
            </w:r>
          </w:p>
        </w:tc>
        <w:tc>
          <w:tcPr/>
          <w:p>
            <w:pPr>
              <w:pStyle w:val="Compact"/>
            </w:pPr>
            <w:r>
              <w:t xml:space="preserve">Academic Context</w:t>
            </w:r>
          </w:p>
        </w:tc>
        <w:tc>
          <w:tcPr/>
          <w:p>
            <w:pPr>
              <w:pStyle w:val="Compact"/>
            </w:pPr>
            <w:r>
              <w:t xml:space="preserve">A-Z Key terms, Landmark papers, Databases, Recommended reading</w:t>
            </w:r>
          </w:p>
        </w:tc>
      </w:tr>
      <w:tr>
        <w:tc>
          <w:tcPr/>
          <w:p>
            <w:pPr>
              <w:pStyle w:val="Compact"/>
            </w:pPr>
            <w:r>
              <w:rPr>
                <w:rStyle w:val="VerbatimChar"/>
              </w:rPr>
              <w:t xml:space="preserve">TODO.md</w:t>
            </w:r>
          </w:p>
        </w:tc>
        <w:tc>
          <w:tcPr/>
          <w:p>
            <w:pPr>
              <w:pStyle w:val="Compact"/>
            </w:pPr>
            <w:r>
              <w:t xml:space="preserve">Project Tracking</w:t>
            </w:r>
          </w:p>
        </w:tc>
        <w:tc>
          <w:tcPr/>
          <w:p>
            <w:pPr>
              <w:pStyle w:val="Compact"/>
            </w:pPr>
            <w:r>
              <w:t xml:space="preserve">Tracks the development and polish process</w:t>
            </w:r>
          </w:p>
        </w:tc>
      </w:tr>
    </w:tbl>
    <w:bookmarkEnd w:id="10"/>
    <w:bookmarkEnd w:id="11"/>
    <w:bookmarkStart w:id="12" w:name="key-technical-concepts-integrated"/>
    <w:p>
      <w:pPr>
        <w:pStyle w:val="Heading2"/>
      </w:pPr>
      <w:r>
        <w:t xml:space="preserve">Key Technical Concepts Integrated</w:t>
      </w:r>
    </w:p>
    <w:p>
      <w:pPr>
        <w:pStyle w:val="Compact"/>
        <w:numPr>
          <w:ilvl w:val="0"/>
          <w:numId w:val="1001"/>
        </w:numPr>
      </w:pPr>
      <w:r>
        <w:rPr>
          <w:b/>
          <w:bCs/>
        </w:rPr>
        <w:t xml:space="preserve">Amplicon:</w:t>
      </w:r>
      <w:r>
        <w:t xml:space="preserve"> </w:t>
      </w:r>
      <w:r>
        <w:t xml:space="preserve">ASV (Amplicon Sequence Variant) focus over OTUs using DADA2.</w:t>
      </w:r>
    </w:p>
    <w:p>
      <w:pPr>
        <w:pStyle w:val="Compact"/>
        <w:numPr>
          <w:ilvl w:val="0"/>
          <w:numId w:val="1001"/>
        </w:numPr>
      </w:pPr>
      <w:r>
        <w:rPr>
          <w:b/>
          <w:bCs/>
        </w:rPr>
        <w:t xml:space="preserve">Shotgun:</w:t>
      </w:r>
      <w:r>
        <w:t xml:space="preserve"> </w:t>
      </w:r>
      <w:r>
        <w:t xml:space="preserve">Metagenome-Assembled Genomes (MAGs) recovery and quality assessment (CheckM/GTDB-Tk).</w:t>
      </w:r>
    </w:p>
    <w:p>
      <w:pPr>
        <w:pStyle w:val="Compact"/>
        <w:numPr>
          <w:ilvl w:val="0"/>
          <w:numId w:val="1001"/>
        </w:numPr>
      </w:pPr>
      <w:r>
        <w:rPr>
          <w:b/>
          <w:bCs/>
        </w:rPr>
        <w:t xml:space="preserve">Statistics:</w:t>
      </w:r>
      <w:r>
        <w:t xml:space="preserve"> </w:t>
      </w:r>
      <w:r>
        <w:t xml:space="preserve">Handling compositional data using Centered Log-Ratio (CLR) and PERMANOVA.</w:t>
      </w:r>
    </w:p>
    <w:bookmarkEnd w:id="12"/>
    <w:bookmarkStart w:id="13" w:name="maintenance-notes"/>
    <w:p>
      <w:pPr>
        <w:pStyle w:val="Heading2"/>
      </w:pPr>
      <w:r>
        <w:t xml:space="preserve">Maintenance Notes</w:t>
      </w:r>
    </w:p>
    <w:p>
      <w:pPr>
        <w:pStyle w:val="Compact"/>
        <w:numPr>
          <w:ilvl w:val="0"/>
          <w:numId w:val="1002"/>
        </w:numPr>
      </w:pPr>
      <w:r>
        <w:t xml:space="preserve">All diagrams use Mermaid syntax for modern, scalable rendering.</w:t>
      </w:r>
    </w:p>
    <w:p>
      <w:pPr>
        <w:pStyle w:val="Compact"/>
        <w:numPr>
          <w:ilvl w:val="0"/>
          <w:numId w:val="1002"/>
        </w:numPr>
      </w:pPr>
      <w:r>
        <w:t xml:space="preserve">Markdown files follow GitHub-style alert syntax (</w:t>
      </w:r>
      <w:r>
        <w:rPr>
          <w:rStyle w:val="VerbatimChar"/>
        </w:rPr>
        <w:t xml:space="preserve">&gt; [!NOTE]</w:t>
      </w:r>
      <w:r>
        <w:t xml:space="preserve">, etc.).</w:t>
      </w:r>
    </w:p>
    <w:p>
      <w:pPr>
        <w:pStyle w:val="Compact"/>
        <w:numPr>
          <w:ilvl w:val="0"/>
          <w:numId w:val="1002"/>
        </w:numPr>
      </w:pPr>
      <w:r>
        <w:t xml:space="preserve">File links use absolute paths or internal references appropriate for the workspace.</w:t>
      </w:r>
    </w:p>
    <w:bookmarkEnd w:id="13"/>
    <w:bookmarkStart w:id="14" w:name="memory-log-for-future-ai-agents"/>
    <w:p>
      <w:pPr>
        <w:pStyle w:val="Heading2"/>
      </w:pPr>
      <w:r>
        <w:t xml:space="preserve">Memory Log for Future AI Agents</w:t>
      </w:r>
    </w:p>
    <w:p>
      <w:pPr>
        <w:pStyle w:val="BlockText"/>
      </w:pPr>
      <w:r>
        <w:t xml:space="preserve">[!IMPORTANT]</w:t>
      </w:r>
      <w:r>
        <w:t xml:space="preserve"> </w:t>
      </w:r>
      <w:r>
        <w:t xml:space="preserve">This workshop is designed for a 3-day high-intensity program at IIT Madras. The content starts from absolute Linux basics and scales to complex MAG recovery and machine learning. All scripts and commands provided are vetted for standard bioinformatics environments (Ubuntu/WSL2).</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2026-03-31T17:21:57Z</dcterms:created>
  <dcterms:modified xsi:type="dcterms:W3CDTF">2026-03-31T17:21:57Z</dcterms:modified>
</cp:coreProperties>
</file>

<file path=docProps/custom.xml><?xml version="1.0" encoding="utf-8"?>
<Properties xmlns="http://schemas.openxmlformats.org/officeDocument/2006/custom-properties" xmlns:vt="http://schemas.openxmlformats.org/officeDocument/2006/docPropsVTypes"/>
</file>